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48E4" w14:textId="77777777" w:rsidR="00A23AD8" w:rsidRDefault="00A23AD8">
      <w:pPr>
        <w:pStyle w:val="BodyText"/>
        <w:spacing w:before="8"/>
        <w:rPr>
          <w:rFonts w:ascii="Times New Roman"/>
          <w:sz w:val="20"/>
        </w:rPr>
      </w:pPr>
    </w:p>
    <w:p w14:paraId="016D16F1" w14:textId="4D861787" w:rsidR="00A23AD8" w:rsidRPr="008061B4" w:rsidRDefault="00000000" w:rsidP="008061B4">
      <w:pPr>
        <w:pStyle w:val="Title"/>
        <w:rPr>
          <w:spacing w:val="-2"/>
          <w:lang w:val="sv-SE"/>
        </w:rPr>
      </w:pPr>
      <w:r>
        <w:rPr>
          <w:spacing w:val="-2"/>
          <w:lang w:val="sv-SE"/>
        </w:rPr>
        <w:t>TILLÄMPNINGSANVISNING FÖR FÖRDELNINGEN AV DEN LOKALA POTTEN I DEN PRIVATA SOCIALSERVICE</w:t>
      </w:r>
      <w:r w:rsidR="008061B4">
        <w:rPr>
          <w:spacing w:val="-2"/>
          <w:lang w:val="sv-SE"/>
        </w:rPr>
        <w:t>-</w:t>
      </w:r>
      <w:r>
        <w:rPr>
          <w:spacing w:val="-2"/>
          <w:lang w:val="sv-SE"/>
        </w:rPr>
        <w:t>BRANSCHEN DEN 1.8.2025</w:t>
      </w:r>
    </w:p>
    <w:p w14:paraId="5115D34C" w14:textId="77777777" w:rsidR="00A23AD8" w:rsidRPr="00592499" w:rsidRDefault="00A23AD8">
      <w:pPr>
        <w:pStyle w:val="BodyText"/>
        <w:rPr>
          <w:b/>
          <w:sz w:val="36"/>
          <w:lang w:val="sv-SE"/>
        </w:rPr>
      </w:pPr>
    </w:p>
    <w:p w14:paraId="4D57E9D8" w14:textId="77777777" w:rsidR="00A23AD8" w:rsidRPr="00592499" w:rsidRDefault="00A23AD8">
      <w:pPr>
        <w:pStyle w:val="BodyText"/>
        <w:spacing w:before="1"/>
        <w:rPr>
          <w:b/>
          <w:sz w:val="33"/>
          <w:lang w:val="sv-SE"/>
        </w:rPr>
      </w:pPr>
    </w:p>
    <w:p w14:paraId="40B2E39A" w14:textId="77777777" w:rsidR="00A23AD8" w:rsidRPr="00592499" w:rsidRDefault="00000000">
      <w:pPr>
        <w:pStyle w:val="Heading11"/>
        <w:numPr>
          <w:ilvl w:val="0"/>
          <w:numId w:val="3"/>
        </w:numPr>
        <w:tabs>
          <w:tab w:val="left" w:pos="425"/>
        </w:tabs>
        <w:rPr>
          <w:lang w:val="sv-SE"/>
        </w:rPr>
      </w:pPr>
      <w:r>
        <w:rPr>
          <w:lang w:val="sv-SE"/>
        </w:rPr>
        <w:t>Vad är det som fördelas:</w:t>
      </w:r>
    </w:p>
    <w:p w14:paraId="29D26682" w14:textId="77777777" w:rsidR="00A23AD8" w:rsidRPr="00592499" w:rsidRDefault="00A23AD8">
      <w:pPr>
        <w:pStyle w:val="BodyText"/>
        <w:spacing w:before="10"/>
        <w:rPr>
          <w:b/>
          <w:sz w:val="27"/>
          <w:lang w:val="sv-SE"/>
        </w:rPr>
      </w:pPr>
    </w:p>
    <w:p w14:paraId="07B361B8" w14:textId="77777777" w:rsidR="00A23AD8" w:rsidRPr="00592499" w:rsidRDefault="00000000">
      <w:pPr>
        <w:pStyle w:val="BodyText"/>
        <w:ind w:left="112" w:right="237"/>
        <w:rPr>
          <w:lang w:val="sv-SE"/>
        </w:rPr>
      </w:pPr>
      <w:r>
        <w:rPr>
          <w:lang w:val="sv-SE"/>
        </w:rPr>
        <w:t>0,7 procent av lönesumman för ordinarie arbetstid i mars 2025 för de arbetstagare som omfattas av arbetsgivarens kollektivavtal.</w:t>
      </w:r>
    </w:p>
    <w:p w14:paraId="07B8972E" w14:textId="77777777" w:rsidR="00A23AD8" w:rsidRPr="00592499" w:rsidRDefault="00A23AD8">
      <w:pPr>
        <w:pStyle w:val="BodyText"/>
        <w:spacing w:before="2"/>
        <w:rPr>
          <w:lang w:val="sv-SE"/>
        </w:rPr>
      </w:pPr>
    </w:p>
    <w:p w14:paraId="4F8C7030" w14:textId="68A333B1" w:rsidR="00A23AD8" w:rsidRPr="00782E84" w:rsidRDefault="00B67DBD">
      <w:pPr>
        <w:pStyle w:val="BodyText"/>
        <w:ind w:left="112" w:right="237"/>
        <w:rPr>
          <w:lang w:val="sv-SE"/>
        </w:rPr>
      </w:pPr>
      <w:r>
        <w:rPr>
          <w:lang w:val="sv-SE"/>
        </w:rPr>
        <w:t>I l</w:t>
      </w:r>
      <w:r w:rsidR="00000000">
        <w:rPr>
          <w:lang w:val="sv-SE"/>
        </w:rPr>
        <w:t xml:space="preserve">önesumman </w:t>
      </w:r>
      <w:r>
        <w:rPr>
          <w:lang w:val="sv-SE"/>
        </w:rPr>
        <w:t>beaktas</w:t>
      </w:r>
      <w:r w:rsidR="00000000">
        <w:rPr>
          <w:lang w:val="sv-SE"/>
        </w:rPr>
        <w:t xml:space="preserve"> ordinarie regelbundna löner, men inte övertid eller rörliga timtillägg såsom kväll</w:t>
      </w:r>
      <w:r w:rsidR="00C50EBA">
        <w:rPr>
          <w:lang w:val="sv-SE"/>
        </w:rPr>
        <w:t>s-</w:t>
      </w:r>
      <w:r w:rsidR="00000000">
        <w:rPr>
          <w:lang w:val="sv-SE"/>
        </w:rPr>
        <w:t>, natt</w:t>
      </w:r>
      <w:r w:rsidR="00C50EBA">
        <w:rPr>
          <w:lang w:val="sv-SE"/>
        </w:rPr>
        <w:t>-</w:t>
      </w:r>
      <w:r w:rsidR="00000000">
        <w:rPr>
          <w:lang w:val="sv-SE"/>
        </w:rPr>
        <w:t>, lördag</w:t>
      </w:r>
      <w:r w:rsidR="00C50EBA">
        <w:rPr>
          <w:lang w:val="sv-SE"/>
        </w:rPr>
        <w:t xml:space="preserve">s- </w:t>
      </w:r>
      <w:r w:rsidR="00000000">
        <w:rPr>
          <w:lang w:val="sv-SE"/>
        </w:rPr>
        <w:t>och söndag</w:t>
      </w:r>
      <w:r w:rsidR="00C50EBA">
        <w:rPr>
          <w:lang w:val="sv-SE"/>
        </w:rPr>
        <w:t>stillägg</w:t>
      </w:r>
      <w:r w:rsidR="00000000">
        <w:rPr>
          <w:lang w:val="sv-SE"/>
        </w:rPr>
        <w:t xml:space="preserve">. Löner som </w:t>
      </w:r>
      <w:r w:rsidR="0066166E">
        <w:rPr>
          <w:lang w:val="sv-SE"/>
        </w:rPr>
        <w:t>ut</w:t>
      </w:r>
      <w:r w:rsidR="00000000">
        <w:rPr>
          <w:lang w:val="sv-SE"/>
        </w:rPr>
        <w:t xml:space="preserve">betalas för betalda perioder av frånvaro, såsom årssemester eller sjukfrånvaro, beaktas utan timtillägg. På motsvarande sätt beaktas inte lönerna för vikarier för anställda </w:t>
      </w:r>
      <w:r w:rsidR="00782E84">
        <w:rPr>
          <w:lang w:val="sv-SE"/>
        </w:rPr>
        <w:t>under</w:t>
      </w:r>
      <w:r w:rsidR="00000000">
        <w:rPr>
          <w:lang w:val="sv-SE"/>
        </w:rPr>
        <w:t xml:space="preserve"> betald ledighet. Semesterlönen beaktas inte.</w:t>
      </w:r>
    </w:p>
    <w:p w14:paraId="59B8CF48" w14:textId="77777777" w:rsidR="00A23AD8" w:rsidRPr="00782E84" w:rsidRDefault="00A23AD8">
      <w:pPr>
        <w:pStyle w:val="BodyText"/>
        <w:spacing w:before="11"/>
        <w:rPr>
          <w:sz w:val="27"/>
          <w:lang w:val="sv-SE"/>
        </w:rPr>
      </w:pPr>
    </w:p>
    <w:p w14:paraId="21F4E1F0" w14:textId="77777777" w:rsidR="00A23AD8" w:rsidRPr="00592499" w:rsidRDefault="00000000">
      <w:pPr>
        <w:pStyle w:val="Heading11"/>
        <w:numPr>
          <w:ilvl w:val="0"/>
          <w:numId w:val="3"/>
        </w:numPr>
        <w:tabs>
          <w:tab w:val="left" w:pos="425"/>
        </w:tabs>
        <w:rPr>
          <w:lang w:val="sv-SE"/>
        </w:rPr>
      </w:pPr>
      <w:r>
        <w:rPr>
          <w:lang w:val="sv-SE"/>
        </w:rPr>
        <w:t>Vilka är det som förhandlar:</w:t>
      </w:r>
    </w:p>
    <w:p w14:paraId="4A8C736D" w14:textId="77777777" w:rsidR="00A23AD8" w:rsidRPr="00592499" w:rsidRDefault="00A23AD8">
      <w:pPr>
        <w:pStyle w:val="BodyText"/>
        <w:spacing w:before="11"/>
        <w:rPr>
          <w:b/>
          <w:sz w:val="27"/>
          <w:lang w:val="sv-SE"/>
        </w:rPr>
      </w:pPr>
    </w:p>
    <w:p w14:paraId="09350221" w14:textId="1D7238ED" w:rsidR="00A23AD8" w:rsidRPr="00592499" w:rsidRDefault="00000000">
      <w:pPr>
        <w:pStyle w:val="BodyText"/>
        <w:ind w:left="112" w:right="18"/>
        <w:rPr>
          <w:lang w:val="sv-SE"/>
        </w:rPr>
      </w:pPr>
      <w:r>
        <w:rPr>
          <w:lang w:val="sv-SE"/>
        </w:rPr>
        <w:t>Förhandlingar förs antingen på koncern</w:t>
      </w:r>
      <w:r w:rsidR="00532B32">
        <w:rPr>
          <w:lang w:val="sv-SE"/>
        </w:rPr>
        <w:t>-</w:t>
      </w:r>
      <w:r>
        <w:rPr>
          <w:lang w:val="sv-SE"/>
        </w:rPr>
        <w:t>, företags</w:t>
      </w:r>
      <w:r w:rsidR="00532B32">
        <w:rPr>
          <w:lang w:val="sv-SE"/>
        </w:rPr>
        <w:t>-</w:t>
      </w:r>
      <w:r>
        <w:rPr>
          <w:lang w:val="sv-SE"/>
        </w:rPr>
        <w:t xml:space="preserve"> eller arbetsenhetsnivå. Arbetsgivaren avgör förhandlingsnivån. Förhandlingsparterna utgörs av arbetsgivarens företrädare och förtroendepersonen/förtroendepersoner. Vid avsaknad av förtroendeperson väljer arbetstagarna sinsemellan sin/sina företrädare. Om en av undertecknarorganisationerna har en förtroendeperson, </w:t>
      </w:r>
      <w:r w:rsidR="007C3D53">
        <w:rPr>
          <w:lang w:val="sv-SE"/>
        </w:rPr>
        <w:t>kan</w:t>
      </w:r>
      <w:r>
        <w:rPr>
          <w:lang w:val="sv-SE"/>
        </w:rPr>
        <w:t xml:space="preserve"> de anställda som tillhör de andra undertecknarorganisationerna </w:t>
      </w:r>
      <w:r w:rsidR="007C3D53">
        <w:rPr>
          <w:lang w:val="sv-SE"/>
        </w:rPr>
        <w:t>även</w:t>
      </w:r>
      <w:r>
        <w:rPr>
          <w:lang w:val="sv-SE"/>
        </w:rPr>
        <w:t xml:space="preserve"> bemyndiga denn</w:t>
      </w:r>
      <w:r w:rsidR="007C3D53">
        <w:rPr>
          <w:lang w:val="sv-SE"/>
        </w:rPr>
        <w:t>a</w:t>
      </w:r>
      <w:r>
        <w:rPr>
          <w:lang w:val="sv-SE"/>
        </w:rPr>
        <w:t xml:space="preserve"> förtroendeperson att företräda dem eller sinsemellan välja sin eller sina egna företrädare.</w:t>
      </w:r>
    </w:p>
    <w:p w14:paraId="519F642F" w14:textId="77777777" w:rsidR="00A23AD8" w:rsidRPr="00592499" w:rsidRDefault="00000000">
      <w:pPr>
        <w:pStyle w:val="BodyText"/>
        <w:spacing w:line="321" w:lineRule="exact"/>
        <w:ind w:left="112"/>
        <w:rPr>
          <w:lang w:val="sv-SE"/>
        </w:rPr>
      </w:pPr>
      <w:r>
        <w:rPr>
          <w:lang w:val="sv-SE"/>
        </w:rPr>
        <w:t>Med förtroendeperson avses även huvudförtroendepersonen.</w:t>
      </w:r>
    </w:p>
    <w:p w14:paraId="6AD341C1" w14:textId="77777777" w:rsidR="00A23AD8" w:rsidRPr="00592499" w:rsidRDefault="00A23AD8">
      <w:pPr>
        <w:pStyle w:val="BodyText"/>
        <w:spacing w:before="1"/>
        <w:rPr>
          <w:lang w:val="sv-SE"/>
        </w:rPr>
      </w:pPr>
    </w:p>
    <w:p w14:paraId="458E6B6B" w14:textId="77777777" w:rsidR="00A23AD8" w:rsidRPr="00592499" w:rsidRDefault="00000000">
      <w:pPr>
        <w:pStyle w:val="BodyText"/>
        <w:ind w:left="112" w:right="237"/>
        <w:rPr>
          <w:lang w:val="sv-SE"/>
        </w:rPr>
      </w:pPr>
      <w:r>
        <w:rPr>
          <w:lang w:val="sv-SE"/>
        </w:rPr>
        <w:t>I en liten arbetsgemenskap kan förhandlingar också föras med hela personalen vid ett gemensamt möte utan separat valda företrädare.</w:t>
      </w:r>
    </w:p>
    <w:p w14:paraId="03BBCDB4" w14:textId="77777777" w:rsidR="00A23AD8" w:rsidRPr="00592499" w:rsidRDefault="00A23AD8">
      <w:pPr>
        <w:pStyle w:val="BodyText"/>
        <w:spacing w:before="11"/>
        <w:rPr>
          <w:sz w:val="27"/>
          <w:lang w:val="sv-SE"/>
        </w:rPr>
      </w:pPr>
    </w:p>
    <w:p w14:paraId="56CF2019" w14:textId="77777777" w:rsidR="00A23AD8" w:rsidRPr="00592499" w:rsidRDefault="00000000">
      <w:pPr>
        <w:pStyle w:val="BodyText"/>
        <w:ind w:left="112" w:right="237"/>
        <w:rPr>
          <w:lang w:val="sv-SE"/>
        </w:rPr>
      </w:pPr>
      <w:r>
        <w:rPr>
          <w:lang w:val="sv-SE"/>
        </w:rPr>
        <w:t>I början av förhandlingarna anges vilka förhandlarna är och vilka enheter de företräder.</w:t>
      </w:r>
    </w:p>
    <w:p w14:paraId="630F3147" w14:textId="77777777" w:rsidR="00A23AD8" w:rsidRPr="00592499" w:rsidRDefault="00A23AD8">
      <w:pPr>
        <w:pStyle w:val="BodyText"/>
        <w:rPr>
          <w:sz w:val="30"/>
          <w:lang w:val="sv-SE"/>
        </w:rPr>
      </w:pPr>
    </w:p>
    <w:p w14:paraId="58E25499" w14:textId="77777777" w:rsidR="00A23AD8" w:rsidRPr="00592499" w:rsidRDefault="00A23AD8">
      <w:pPr>
        <w:pStyle w:val="BodyText"/>
        <w:spacing w:before="1"/>
        <w:rPr>
          <w:sz w:val="26"/>
          <w:lang w:val="sv-SE"/>
        </w:rPr>
      </w:pPr>
    </w:p>
    <w:p w14:paraId="7DD44952" w14:textId="77777777" w:rsidR="00A23AD8" w:rsidRPr="00592499" w:rsidRDefault="00000000">
      <w:pPr>
        <w:pStyle w:val="Heading11"/>
        <w:numPr>
          <w:ilvl w:val="0"/>
          <w:numId w:val="3"/>
        </w:numPr>
        <w:tabs>
          <w:tab w:val="left" w:pos="425"/>
        </w:tabs>
        <w:rPr>
          <w:lang w:val="sv-SE"/>
        </w:rPr>
      </w:pPr>
      <w:r>
        <w:rPr>
          <w:lang w:val="sv-SE"/>
        </w:rPr>
        <w:t>Vad förhandlar man om och hur fördelar man:</w:t>
      </w:r>
    </w:p>
    <w:p w14:paraId="540DC387" w14:textId="77777777" w:rsidR="00A23AD8" w:rsidRPr="00592499" w:rsidRDefault="00A23AD8">
      <w:pPr>
        <w:pStyle w:val="BodyText"/>
        <w:spacing w:before="10"/>
        <w:rPr>
          <w:b/>
          <w:sz w:val="27"/>
          <w:lang w:val="sv-SE"/>
        </w:rPr>
      </w:pPr>
    </w:p>
    <w:p w14:paraId="2F12EBE2" w14:textId="77777777" w:rsidR="00A23AD8" w:rsidRPr="00592499" w:rsidRDefault="00000000">
      <w:pPr>
        <w:pStyle w:val="BodyText"/>
        <w:ind w:left="112" w:right="237"/>
        <w:rPr>
          <w:lang w:val="sv-SE"/>
        </w:rPr>
      </w:pPr>
      <w:r>
        <w:rPr>
          <w:lang w:val="sv-SE"/>
        </w:rPr>
        <w:t>Målet med förhandlingarna är att nå samförstånd om fördelningen av anslagen på 0,7 procent.</w:t>
      </w:r>
    </w:p>
    <w:p w14:paraId="03F00EC7" w14:textId="77777777" w:rsidR="00A23AD8" w:rsidRPr="00592499" w:rsidRDefault="00A23AD8">
      <w:pPr>
        <w:rPr>
          <w:lang w:val="sv-SE"/>
        </w:rPr>
        <w:sectPr w:rsidR="00A23AD8" w:rsidRPr="00592499">
          <w:type w:val="continuous"/>
          <w:pgSz w:w="11910" w:h="16840"/>
          <w:pgMar w:top="1920" w:right="1020" w:bottom="280" w:left="1020" w:header="720" w:footer="720" w:gutter="0"/>
          <w:cols w:space="720"/>
        </w:sectPr>
      </w:pPr>
    </w:p>
    <w:p w14:paraId="2B739B52" w14:textId="1A09A8F0" w:rsidR="00A23AD8" w:rsidRPr="00592499" w:rsidRDefault="00000000">
      <w:pPr>
        <w:pStyle w:val="BodyText"/>
        <w:spacing w:before="76"/>
        <w:ind w:left="112" w:right="237"/>
        <w:rPr>
          <w:lang w:val="sv-SE"/>
        </w:rPr>
      </w:pPr>
      <w:r>
        <w:rPr>
          <w:lang w:val="sv-SE"/>
        </w:rPr>
        <w:lastRenderedPageBreak/>
        <w:t>Målen är att bibehålla lönekonkurrensen inom sektorn, utveckla lokala incitamentsprogram, stödja en eventuell omorganisering av uppgifter och åtgärda lokala missförhållanden i lönesättningen. Samtidigt säkerställs att arbetsledarnas löner står i proportion till de anställdas löner.</w:t>
      </w:r>
    </w:p>
    <w:p w14:paraId="0D1A6705" w14:textId="77777777" w:rsidR="00A23AD8" w:rsidRPr="00592499" w:rsidRDefault="00A23AD8">
      <w:pPr>
        <w:pStyle w:val="BodyText"/>
        <w:rPr>
          <w:lang w:val="sv-SE"/>
        </w:rPr>
      </w:pPr>
    </w:p>
    <w:p w14:paraId="48EED035" w14:textId="4A772C0F" w:rsidR="00A23AD8" w:rsidRPr="00592499" w:rsidRDefault="00000000">
      <w:pPr>
        <w:pStyle w:val="BodyText"/>
        <w:ind w:left="112"/>
        <w:rPr>
          <w:lang w:val="sv-SE"/>
        </w:rPr>
      </w:pPr>
      <w:r>
        <w:rPr>
          <w:lang w:val="sv-SE"/>
        </w:rPr>
        <w:t xml:space="preserve">Inom ramen för dessa mål </w:t>
      </w:r>
      <w:r w:rsidR="003E025C">
        <w:rPr>
          <w:lang w:val="sv-SE"/>
        </w:rPr>
        <w:t>baseras</w:t>
      </w:r>
      <w:r>
        <w:rPr>
          <w:lang w:val="sv-SE"/>
        </w:rPr>
        <w:t xml:space="preserve"> fördelningsgrunderna antingen på</w:t>
      </w:r>
    </w:p>
    <w:p w14:paraId="0CB64D3C" w14:textId="5F36CA75" w:rsidR="00A23AD8" w:rsidRDefault="00000000">
      <w:pPr>
        <w:pStyle w:val="ListParagraph"/>
        <w:numPr>
          <w:ilvl w:val="1"/>
          <w:numId w:val="3"/>
        </w:numPr>
        <w:tabs>
          <w:tab w:val="left" w:pos="832"/>
        </w:tabs>
        <w:spacing w:before="2" w:line="322" w:lineRule="exact"/>
        <w:rPr>
          <w:sz w:val="28"/>
        </w:rPr>
      </w:pPr>
      <w:r>
        <w:rPr>
          <w:sz w:val="28"/>
          <w:szCs w:val="28"/>
          <w:lang w:val="sv-SE"/>
        </w:rPr>
        <w:t xml:space="preserve">arbetets </w:t>
      </w:r>
      <w:r w:rsidR="003E025C">
        <w:rPr>
          <w:sz w:val="28"/>
          <w:szCs w:val="28"/>
          <w:lang w:val="sv-SE"/>
        </w:rPr>
        <w:t>krävande karaktär</w:t>
      </w:r>
      <w:r>
        <w:rPr>
          <w:sz w:val="28"/>
          <w:szCs w:val="28"/>
          <w:lang w:val="sv-SE"/>
        </w:rPr>
        <w:t>, eller</w:t>
      </w:r>
    </w:p>
    <w:p w14:paraId="48BDB151" w14:textId="77777777" w:rsidR="00A23AD8" w:rsidRDefault="00000000">
      <w:pPr>
        <w:pStyle w:val="ListParagraph"/>
        <w:numPr>
          <w:ilvl w:val="1"/>
          <w:numId w:val="3"/>
        </w:numPr>
        <w:tabs>
          <w:tab w:val="left" w:pos="832"/>
        </w:tabs>
        <w:rPr>
          <w:sz w:val="28"/>
        </w:rPr>
      </w:pPr>
      <w:r>
        <w:rPr>
          <w:sz w:val="28"/>
          <w:szCs w:val="28"/>
          <w:lang w:val="sv-SE"/>
        </w:rPr>
        <w:t>tillgången på arbetskraft.</w:t>
      </w:r>
    </w:p>
    <w:p w14:paraId="304844F2" w14:textId="77777777" w:rsidR="00A23AD8" w:rsidRDefault="00A23AD8">
      <w:pPr>
        <w:pStyle w:val="BodyText"/>
        <w:spacing w:before="11"/>
        <w:rPr>
          <w:sz w:val="27"/>
        </w:rPr>
      </w:pPr>
    </w:p>
    <w:p w14:paraId="5F89CD8E" w14:textId="23A1AFE3" w:rsidR="00A23AD8" w:rsidRPr="00FF56A1" w:rsidRDefault="00000000">
      <w:pPr>
        <w:pStyle w:val="ListParagraph"/>
        <w:numPr>
          <w:ilvl w:val="0"/>
          <w:numId w:val="2"/>
        </w:numPr>
        <w:tabs>
          <w:tab w:val="left" w:pos="425"/>
        </w:tabs>
        <w:ind w:right="135" w:firstLine="0"/>
        <w:rPr>
          <w:sz w:val="28"/>
          <w:lang w:val="sv-SE"/>
        </w:rPr>
      </w:pPr>
      <w:r>
        <w:rPr>
          <w:sz w:val="28"/>
          <w:szCs w:val="28"/>
          <w:lang w:val="sv-SE"/>
        </w:rPr>
        <w:t xml:space="preserve">Vid fördelning baserad på arbetets </w:t>
      </w:r>
      <w:r w:rsidR="00FF56A1">
        <w:rPr>
          <w:sz w:val="28"/>
          <w:szCs w:val="28"/>
          <w:lang w:val="sv-SE"/>
        </w:rPr>
        <w:t>krävande karaktär</w:t>
      </w:r>
      <w:r>
        <w:rPr>
          <w:sz w:val="28"/>
          <w:szCs w:val="28"/>
          <w:lang w:val="sv-SE"/>
        </w:rPr>
        <w:t xml:space="preserve"> </w:t>
      </w:r>
      <w:r w:rsidR="00FF56A1">
        <w:rPr>
          <w:sz w:val="28"/>
          <w:szCs w:val="28"/>
          <w:lang w:val="sv-SE"/>
        </w:rPr>
        <w:t>(</w:t>
      </w:r>
      <w:r>
        <w:rPr>
          <w:sz w:val="28"/>
          <w:szCs w:val="28"/>
          <w:lang w:val="sv-SE"/>
        </w:rPr>
        <w:t>1 § 3.2</w:t>
      </w:r>
      <w:r w:rsidR="001B3767">
        <w:rPr>
          <w:sz w:val="28"/>
          <w:szCs w:val="28"/>
          <w:lang w:val="sv-SE"/>
        </w:rPr>
        <w:t xml:space="preserve"> i löneavtalet</w:t>
      </w:r>
      <w:r>
        <w:rPr>
          <w:sz w:val="28"/>
          <w:szCs w:val="28"/>
          <w:lang w:val="sv-SE"/>
        </w:rPr>
        <w:t>) fördelas löneökningarna till de arbetsuppgifter där löneökningen bedöms motiverad jämfört med den utbetalda lönenivån. Kriterierna kan till exempel utgöras av:</w:t>
      </w:r>
    </w:p>
    <w:p w14:paraId="449FB207" w14:textId="77777777" w:rsidR="00A23AD8" w:rsidRPr="00FF56A1" w:rsidRDefault="00A23AD8">
      <w:pPr>
        <w:pStyle w:val="BodyText"/>
        <w:rPr>
          <w:lang w:val="sv-SE"/>
        </w:rPr>
      </w:pPr>
    </w:p>
    <w:p w14:paraId="3D7D9088" w14:textId="77777777" w:rsidR="00A23AD8" w:rsidRDefault="00000000">
      <w:pPr>
        <w:pStyle w:val="ListParagraph"/>
        <w:numPr>
          <w:ilvl w:val="1"/>
          <w:numId w:val="2"/>
        </w:numPr>
        <w:tabs>
          <w:tab w:val="left" w:pos="285"/>
        </w:tabs>
        <w:spacing w:before="1" w:line="322" w:lineRule="exact"/>
        <w:ind w:left="284" w:hanging="173"/>
        <w:rPr>
          <w:sz w:val="28"/>
        </w:rPr>
      </w:pPr>
      <w:r>
        <w:rPr>
          <w:sz w:val="28"/>
          <w:szCs w:val="28"/>
          <w:lang w:val="sv-SE"/>
        </w:rPr>
        <w:t>arbetets krävande karaktär</w:t>
      </w:r>
    </w:p>
    <w:p w14:paraId="151E9105" w14:textId="77777777" w:rsidR="00A23AD8" w:rsidRDefault="00000000">
      <w:pPr>
        <w:pStyle w:val="ListParagraph"/>
        <w:numPr>
          <w:ilvl w:val="1"/>
          <w:numId w:val="2"/>
        </w:numPr>
        <w:tabs>
          <w:tab w:val="left" w:pos="285"/>
        </w:tabs>
        <w:spacing w:line="322" w:lineRule="exact"/>
        <w:ind w:left="284" w:hanging="173"/>
        <w:rPr>
          <w:sz w:val="28"/>
        </w:rPr>
      </w:pPr>
      <w:r>
        <w:rPr>
          <w:sz w:val="28"/>
          <w:szCs w:val="28"/>
          <w:lang w:val="sv-SE"/>
        </w:rPr>
        <w:t>ansvaret för arbetet</w:t>
      </w:r>
    </w:p>
    <w:p w14:paraId="50AE179A" w14:textId="77777777" w:rsidR="00A23AD8" w:rsidRDefault="00000000">
      <w:pPr>
        <w:pStyle w:val="ListParagraph"/>
        <w:numPr>
          <w:ilvl w:val="1"/>
          <w:numId w:val="2"/>
        </w:numPr>
        <w:tabs>
          <w:tab w:val="left" w:pos="285"/>
        </w:tabs>
        <w:spacing w:line="322" w:lineRule="exact"/>
        <w:ind w:left="284" w:hanging="173"/>
        <w:rPr>
          <w:sz w:val="28"/>
        </w:rPr>
      </w:pPr>
      <w:r>
        <w:rPr>
          <w:sz w:val="28"/>
          <w:szCs w:val="28"/>
          <w:lang w:val="sv-SE"/>
        </w:rPr>
        <w:t>arbetets omfattning</w:t>
      </w:r>
    </w:p>
    <w:p w14:paraId="41CC3DEC" w14:textId="77777777" w:rsidR="00A23AD8" w:rsidRDefault="00000000">
      <w:pPr>
        <w:pStyle w:val="ListParagraph"/>
        <w:numPr>
          <w:ilvl w:val="1"/>
          <w:numId w:val="2"/>
        </w:numPr>
        <w:tabs>
          <w:tab w:val="left" w:pos="285"/>
        </w:tabs>
        <w:spacing w:line="322" w:lineRule="exact"/>
        <w:ind w:left="284" w:hanging="173"/>
        <w:rPr>
          <w:sz w:val="28"/>
        </w:rPr>
      </w:pPr>
      <w:r>
        <w:rPr>
          <w:sz w:val="28"/>
          <w:szCs w:val="28"/>
          <w:lang w:val="sv-SE"/>
        </w:rPr>
        <w:t>erforderlig specialutbildning eller erfarenhet</w:t>
      </w:r>
    </w:p>
    <w:p w14:paraId="53704B71" w14:textId="77777777" w:rsidR="00A23AD8" w:rsidRDefault="00000000">
      <w:pPr>
        <w:pStyle w:val="ListParagraph"/>
        <w:numPr>
          <w:ilvl w:val="1"/>
          <w:numId w:val="2"/>
        </w:numPr>
        <w:tabs>
          <w:tab w:val="left" w:pos="285"/>
        </w:tabs>
        <w:ind w:left="284" w:hanging="173"/>
        <w:rPr>
          <w:sz w:val="28"/>
        </w:rPr>
      </w:pPr>
      <w:r>
        <w:rPr>
          <w:sz w:val="28"/>
          <w:szCs w:val="28"/>
          <w:lang w:val="sv-SE"/>
        </w:rPr>
        <w:t>specialuppgifter utöver de normala arbetsuppgifterna</w:t>
      </w:r>
    </w:p>
    <w:p w14:paraId="160B1D8C" w14:textId="77777777" w:rsidR="00A23AD8" w:rsidRPr="00592499" w:rsidRDefault="00000000">
      <w:pPr>
        <w:pStyle w:val="ListParagraph"/>
        <w:numPr>
          <w:ilvl w:val="1"/>
          <w:numId w:val="2"/>
        </w:numPr>
        <w:tabs>
          <w:tab w:val="left" w:pos="283"/>
        </w:tabs>
        <w:spacing w:before="1"/>
        <w:ind w:right="457" w:firstLine="0"/>
        <w:rPr>
          <w:sz w:val="28"/>
          <w:lang w:val="sv-SE"/>
        </w:rPr>
      </w:pPr>
      <w:r>
        <w:rPr>
          <w:sz w:val="28"/>
          <w:szCs w:val="28"/>
          <w:lang w:val="sv-SE"/>
        </w:rPr>
        <w:t>definierade specifika funktionella ansvarsområden (t.ex. ansvar för särskild omsorg, säkerhet, teknik, ekonomi, pedagogik, handledning eller introduktion)</w:t>
      </w:r>
    </w:p>
    <w:p w14:paraId="43794220" w14:textId="77777777" w:rsidR="00A23AD8" w:rsidRDefault="00000000">
      <w:pPr>
        <w:pStyle w:val="ListParagraph"/>
        <w:numPr>
          <w:ilvl w:val="1"/>
          <w:numId w:val="2"/>
        </w:numPr>
        <w:tabs>
          <w:tab w:val="left" w:pos="285"/>
        </w:tabs>
        <w:spacing w:line="321" w:lineRule="exact"/>
        <w:ind w:left="284" w:hanging="173"/>
        <w:rPr>
          <w:sz w:val="28"/>
        </w:rPr>
      </w:pPr>
      <w:r>
        <w:rPr>
          <w:sz w:val="28"/>
          <w:szCs w:val="28"/>
          <w:lang w:val="sv-SE"/>
        </w:rPr>
        <w:t>arbetets särskilda effektivitet</w:t>
      </w:r>
    </w:p>
    <w:p w14:paraId="1DEA9D4B" w14:textId="77777777" w:rsidR="00A23AD8" w:rsidRDefault="00A23AD8">
      <w:pPr>
        <w:pStyle w:val="BodyText"/>
        <w:spacing w:before="11"/>
        <w:rPr>
          <w:sz w:val="27"/>
        </w:rPr>
      </w:pPr>
    </w:p>
    <w:p w14:paraId="4CA10DA7" w14:textId="7261E0E6" w:rsidR="00A23AD8" w:rsidRPr="00592499" w:rsidRDefault="00000000">
      <w:pPr>
        <w:pStyle w:val="BodyText"/>
        <w:ind w:left="112" w:right="142"/>
        <w:rPr>
          <w:lang w:val="sv-SE"/>
        </w:rPr>
      </w:pPr>
      <w:r>
        <w:rPr>
          <w:lang w:val="sv-SE"/>
        </w:rPr>
        <w:t xml:space="preserve">Notera: I enlighet med 1 § 3.2 i löneavtalet är det i vissa situationer, baserat på arbetets </w:t>
      </w:r>
      <w:r w:rsidR="00F76FBF">
        <w:rPr>
          <w:lang w:val="sv-SE"/>
        </w:rPr>
        <w:t>krävande karaktär</w:t>
      </w:r>
      <w:r>
        <w:rPr>
          <w:lang w:val="sv-SE"/>
        </w:rPr>
        <w:t xml:space="preserve">, obligatoriskt att betala en lön som är högre än lönegruppens minimilön. Den lokalt fördelade potten bör inte användas för att uppfylla denna normala </w:t>
      </w:r>
      <w:r w:rsidR="00B40D92">
        <w:rPr>
          <w:lang w:val="sv-SE"/>
        </w:rPr>
        <w:t>avtals</w:t>
      </w:r>
      <w:r>
        <w:rPr>
          <w:lang w:val="sv-SE"/>
        </w:rPr>
        <w:t>skyldighet, utan för diskretionära tilldelningar som överstiger denna.</w:t>
      </w:r>
    </w:p>
    <w:p w14:paraId="59959D7A" w14:textId="77777777" w:rsidR="00A23AD8" w:rsidRPr="00592499" w:rsidRDefault="00A23AD8">
      <w:pPr>
        <w:pStyle w:val="BodyText"/>
        <w:rPr>
          <w:sz w:val="30"/>
          <w:lang w:val="sv-SE"/>
        </w:rPr>
      </w:pPr>
    </w:p>
    <w:p w14:paraId="5BC73B0B" w14:textId="77777777" w:rsidR="00A23AD8" w:rsidRPr="00592499" w:rsidRDefault="00A23AD8">
      <w:pPr>
        <w:pStyle w:val="BodyText"/>
        <w:rPr>
          <w:sz w:val="26"/>
          <w:lang w:val="sv-SE"/>
        </w:rPr>
      </w:pPr>
    </w:p>
    <w:p w14:paraId="0530FA27" w14:textId="3E541504" w:rsidR="00A23AD8" w:rsidRPr="000D4CE1" w:rsidRDefault="00000000">
      <w:pPr>
        <w:pStyle w:val="ListParagraph"/>
        <w:numPr>
          <w:ilvl w:val="0"/>
          <w:numId w:val="2"/>
        </w:numPr>
        <w:tabs>
          <w:tab w:val="left" w:pos="425"/>
        </w:tabs>
        <w:ind w:right="223" w:firstLine="0"/>
        <w:rPr>
          <w:sz w:val="28"/>
          <w:lang w:val="sv-SE"/>
        </w:rPr>
      </w:pPr>
      <w:r>
        <w:rPr>
          <w:sz w:val="28"/>
          <w:szCs w:val="28"/>
          <w:lang w:val="sv-SE"/>
        </w:rPr>
        <w:t>Vid fördelning av potten baserat på tillgången av arbetskraft (1 § 5</w:t>
      </w:r>
      <w:r w:rsidR="000D4CE1">
        <w:rPr>
          <w:sz w:val="28"/>
          <w:szCs w:val="28"/>
          <w:lang w:val="sv-SE"/>
        </w:rPr>
        <w:t xml:space="preserve"> i löneavtalet</w:t>
      </w:r>
      <w:r>
        <w:rPr>
          <w:sz w:val="28"/>
          <w:szCs w:val="28"/>
          <w:lang w:val="sv-SE"/>
        </w:rPr>
        <w:t>) fördelas löneökningarna till de arbetsuppgifter där löneökningen bedöms motiverad jämfört med den utbetalda lönenivån. Kriterierna kan utgöras av:</w:t>
      </w:r>
    </w:p>
    <w:p w14:paraId="42F965E3" w14:textId="77777777" w:rsidR="00A23AD8" w:rsidRPr="000D4CE1" w:rsidRDefault="00A23AD8">
      <w:pPr>
        <w:pStyle w:val="BodyText"/>
        <w:rPr>
          <w:lang w:val="sv-SE"/>
        </w:rPr>
      </w:pPr>
    </w:p>
    <w:p w14:paraId="74C68662" w14:textId="77777777" w:rsidR="00A23AD8" w:rsidRPr="00592499" w:rsidRDefault="00000000">
      <w:pPr>
        <w:pStyle w:val="BodyText"/>
        <w:ind w:left="112" w:right="237"/>
        <w:rPr>
          <w:lang w:val="sv-SE"/>
        </w:rPr>
      </w:pPr>
      <w:r>
        <w:rPr>
          <w:lang w:val="sv-SE"/>
        </w:rPr>
        <w:t>Upprätthållande av arbetets lönekonkurrens (attrahera och behålla kvalificerad och utbildad personal), särskilt i de yrken/befattningar i ett visst välfärdsområde eller på en ort eller i en viss enhet där tillgången på arbetskraft är särskilt utmanande.</w:t>
      </w:r>
    </w:p>
    <w:p w14:paraId="7F1E6465" w14:textId="77777777" w:rsidR="00A23AD8" w:rsidRPr="00592499" w:rsidRDefault="00A23AD8">
      <w:pPr>
        <w:pStyle w:val="BodyText"/>
        <w:spacing w:before="1"/>
        <w:rPr>
          <w:lang w:val="sv-SE"/>
        </w:rPr>
      </w:pPr>
    </w:p>
    <w:p w14:paraId="4BFE6E34" w14:textId="7121856C" w:rsidR="00A23AD8" w:rsidRPr="00592499" w:rsidRDefault="00000000">
      <w:pPr>
        <w:pStyle w:val="BodyText"/>
        <w:ind w:left="112" w:right="18"/>
        <w:rPr>
          <w:lang w:val="sv-SE"/>
        </w:rPr>
      </w:pPr>
      <w:r>
        <w:rPr>
          <w:lang w:val="sv-SE"/>
        </w:rPr>
        <w:t xml:space="preserve">Potten kan således fördelas som olika belopp inom olika välfärdsområden eller orter eller enheter för företagets eller koncernens </w:t>
      </w:r>
      <w:r w:rsidR="00975D73">
        <w:rPr>
          <w:lang w:val="sv-SE"/>
        </w:rPr>
        <w:t>likartade</w:t>
      </w:r>
      <w:r>
        <w:rPr>
          <w:lang w:val="sv-SE"/>
        </w:rPr>
        <w:t xml:space="preserve"> eller olika uppgifter.</w:t>
      </w:r>
    </w:p>
    <w:p w14:paraId="7AD68FF0" w14:textId="77777777" w:rsidR="00A23AD8" w:rsidRPr="00592499" w:rsidRDefault="00A23AD8">
      <w:pPr>
        <w:rPr>
          <w:lang w:val="sv-SE"/>
        </w:rPr>
        <w:sectPr w:rsidR="00A23AD8" w:rsidRPr="00592499">
          <w:pgSz w:w="11910" w:h="16840"/>
          <w:pgMar w:top="1320" w:right="1020" w:bottom="280" w:left="1020" w:header="720" w:footer="720" w:gutter="0"/>
          <w:cols w:space="720"/>
        </w:sectPr>
      </w:pPr>
    </w:p>
    <w:p w14:paraId="145CDC3B" w14:textId="09CA3133" w:rsidR="00A23AD8" w:rsidRPr="00592499" w:rsidRDefault="00000000">
      <w:pPr>
        <w:pStyle w:val="ListParagraph"/>
        <w:numPr>
          <w:ilvl w:val="0"/>
          <w:numId w:val="2"/>
        </w:numPr>
        <w:tabs>
          <w:tab w:val="left" w:pos="425"/>
        </w:tabs>
        <w:spacing w:before="122"/>
        <w:ind w:right="502" w:firstLine="0"/>
        <w:rPr>
          <w:sz w:val="28"/>
          <w:lang w:val="sv-SE"/>
        </w:rPr>
      </w:pPr>
      <w:r>
        <w:rPr>
          <w:sz w:val="28"/>
          <w:szCs w:val="28"/>
          <w:lang w:val="sv-SE"/>
        </w:rPr>
        <w:lastRenderedPageBreak/>
        <w:t>Om tilldelningen av en pott till specifika uppgifter eller anställda inte anses vara berättigad, kan potten även delas ut till samtliga</w:t>
      </w:r>
      <w:r w:rsidR="00512127">
        <w:rPr>
          <w:sz w:val="28"/>
          <w:szCs w:val="28"/>
          <w:lang w:val="sv-SE"/>
        </w:rPr>
        <w:t xml:space="preserve"> anställda</w:t>
      </w:r>
      <w:r>
        <w:rPr>
          <w:sz w:val="28"/>
          <w:szCs w:val="28"/>
          <w:lang w:val="sv-SE"/>
        </w:rPr>
        <w:t xml:space="preserve"> som 0,7 tillgänglighetstillägg eller också kan potten fördelas lika till alla och endast delvis riktas.</w:t>
      </w:r>
    </w:p>
    <w:p w14:paraId="49798898" w14:textId="77777777" w:rsidR="00A23AD8" w:rsidRPr="00592499" w:rsidRDefault="00A23AD8">
      <w:pPr>
        <w:pStyle w:val="BodyText"/>
        <w:spacing w:before="10"/>
        <w:rPr>
          <w:sz w:val="27"/>
          <w:lang w:val="sv-SE"/>
        </w:rPr>
      </w:pPr>
    </w:p>
    <w:p w14:paraId="5679FBCB" w14:textId="77777777" w:rsidR="00A23AD8" w:rsidRPr="00592499" w:rsidRDefault="00000000">
      <w:pPr>
        <w:pStyle w:val="BodyText"/>
        <w:spacing w:line="242" w:lineRule="auto"/>
        <w:ind w:left="112" w:right="391"/>
        <w:rPr>
          <w:lang w:val="sv-SE"/>
        </w:rPr>
      </w:pPr>
      <w:r>
        <w:rPr>
          <w:lang w:val="sv-SE"/>
        </w:rPr>
        <w:t>Avtalet för fördelningen av potten ska göras skriftligen (se avtalsmallen i avsnitt 8.9).</w:t>
      </w:r>
    </w:p>
    <w:p w14:paraId="20BD8D04" w14:textId="77777777" w:rsidR="00A23AD8" w:rsidRPr="00592499" w:rsidRDefault="00A23AD8">
      <w:pPr>
        <w:pStyle w:val="BodyText"/>
        <w:spacing w:before="6"/>
        <w:rPr>
          <w:sz w:val="27"/>
          <w:lang w:val="sv-SE"/>
        </w:rPr>
      </w:pPr>
    </w:p>
    <w:p w14:paraId="22D78602" w14:textId="77777777" w:rsidR="00A23AD8" w:rsidRDefault="00000000">
      <w:pPr>
        <w:pStyle w:val="Heading11"/>
        <w:numPr>
          <w:ilvl w:val="0"/>
          <w:numId w:val="2"/>
        </w:numPr>
        <w:tabs>
          <w:tab w:val="left" w:pos="429"/>
        </w:tabs>
        <w:ind w:left="428" w:hanging="317"/>
      </w:pPr>
      <w:r>
        <w:rPr>
          <w:lang w:val="sv-SE"/>
        </w:rPr>
        <w:t>Om ingen överenskommelse nås:</w:t>
      </w:r>
    </w:p>
    <w:p w14:paraId="413CAD01" w14:textId="77777777" w:rsidR="00A23AD8" w:rsidRDefault="00A23AD8">
      <w:pPr>
        <w:pStyle w:val="BodyText"/>
        <w:spacing w:before="11"/>
        <w:rPr>
          <w:b/>
          <w:sz w:val="27"/>
        </w:rPr>
      </w:pPr>
    </w:p>
    <w:p w14:paraId="4FC5D4A2" w14:textId="77777777" w:rsidR="00A23AD8" w:rsidRPr="00592499" w:rsidRDefault="00000000">
      <w:pPr>
        <w:pStyle w:val="BodyText"/>
        <w:ind w:left="112" w:right="18"/>
        <w:rPr>
          <w:lang w:val="sv-SE"/>
        </w:rPr>
      </w:pPr>
      <w:r>
        <w:rPr>
          <w:lang w:val="sv-SE"/>
        </w:rPr>
        <w:t>De lokala förhandlingarna bör föras på ett sådant sätt att en överenskommelse om fördelningen av potten aktivt eftersträvas. Arbetsgivaren får inte före förhandlingarna fatta beslut om fördelningen av potten. Förhandlingarna skall föras på grundval av förslag från parterna som till följd av förhandlingarna kan komma att ändras eller kompletteras.</w:t>
      </w:r>
    </w:p>
    <w:p w14:paraId="737B1973" w14:textId="77777777" w:rsidR="00A23AD8" w:rsidRPr="00592499" w:rsidRDefault="00A23AD8">
      <w:pPr>
        <w:pStyle w:val="BodyText"/>
        <w:rPr>
          <w:lang w:val="sv-SE"/>
        </w:rPr>
      </w:pPr>
    </w:p>
    <w:p w14:paraId="548C3F5F" w14:textId="4F2DFADE" w:rsidR="00A23AD8" w:rsidRPr="00592499" w:rsidRDefault="00000000">
      <w:pPr>
        <w:pStyle w:val="BodyText"/>
        <w:ind w:left="112" w:right="237"/>
        <w:rPr>
          <w:lang w:val="sv-SE"/>
        </w:rPr>
      </w:pPr>
      <w:r>
        <w:rPr>
          <w:lang w:val="sv-SE"/>
        </w:rPr>
        <w:t xml:space="preserve">Om en överenskommelse om fördelningen av posten inte kan nås mellan de förhandlande parterna, ska arbetsgivaren besluta om </w:t>
      </w:r>
      <w:r w:rsidR="006F5CDE">
        <w:rPr>
          <w:lang w:val="sv-SE"/>
        </w:rPr>
        <w:t>för</w:t>
      </w:r>
      <w:r>
        <w:rPr>
          <w:lang w:val="sv-SE"/>
        </w:rPr>
        <w:t xml:space="preserve">delningen av posten i enlighet med principerna i denna </w:t>
      </w:r>
      <w:r w:rsidR="006C0BDB">
        <w:rPr>
          <w:lang w:val="sv-SE"/>
        </w:rPr>
        <w:t>anvisning.</w:t>
      </w:r>
    </w:p>
    <w:p w14:paraId="2367FD40" w14:textId="77777777" w:rsidR="00A23AD8" w:rsidRPr="00592499" w:rsidRDefault="00A23AD8">
      <w:pPr>
        <w:pStyle w:val="BodyText"/>
        <w:spacing w:before="1"/>
        <w:rPr>
          <w:lang w:val="sv-SE"/>
        </w:rPr>
      </w:pPr>
    </w:p>
    <w:p w14:paraId="676B3CA4" w14:textId="576E2950" w:rsidR="00A23AD8" w:rsidRPr="00592499" w:rsidRDefault="00000000">
      <w:pPr>
        <w:pStyle w:val="BodyText"/>
        <w:ind w:left="112" w:right="142"/>
        <w:rPr>
          <w:lang w:val="sv-SE"/>
        </w:rPr>
      </w:pPr>
      <w:r>
        <w:rPr>
          <w:lang w:val="sv-SE"/>
        </w:rPr>
        <w:t>I ett sådant fall ska arbetsgivarens företrädare utan onödigt dröjsmål ge förhandlarna på arbetstagarsidan en skriftlig redogörelse för att det på ett tillförlitligt sätt kan fastställas att hela potten på 0,7 procent har fördelats (en sådan redogörelse kan till exempel vara en jämförelse av de</w:t>
      </w:r>
      <w:r w:rsidR="00B3604E">
        <w:rPr>
          <w:lang w:val="sv-SE"/>
        </w:rPr>
        <w:t>n</w:t>
      </w:r>
      <w:r>
        <w:rPr>
          <w:lang w:val="sv-SE"/>
        </w:rPr>
        <w:t xml:space="preserve"> faktiska ordinarie lönesumman i mars och</w:t>
      </w:r>
      <w:r w:rsidR="00B3604E">
        <w:rPr>
          <w:lang w:val="sv-SE"/>
        </w:rPr>
        <w:t xml:space="preserve"> i</w:t>
      </w:r>
      <w:r>
        <w:rPr>
          <w:lang w:val="sv-SE"/>
        </w:rPr>
        <w:t xml:space="preserve"> augusti 2025) och de fördelningskriterier som </w:t>
      </w:r>
      <w:r w:rsidR="00310FD6">
        <w:rPr>
          <w:lang w:val="sv-SE"/>
        </w:rPr>
        <w:t>tillämpas</w:t>
      </w:r>
      <w:r>
        <w:rPr>
          <w:lang w:val="sv-SE"/>
        </w:rPr>
        <w:t>.</w:t>
      </w:r>
    </w:p>
    <w:p w14:paraId="180248DB" w14:textId="77777777" w:rsidR="00A23AD8" w:rsidRPr="00592499" w:rsidRDefault="00A23AD8">
      <w:pPr>
        <w:pStyle w:val="BodyText"/>
        <w:rPr>
          <w:sz w:val="30"/>
          <w:lang w:val="sv-SE"/>
        </w:rPr>
      </w:pPr>
    </w:p>
    <w:p w14:paraId="2AB1B4E7" w14:textId="77777777" w:rsidR="00A23AD8" w:rsidRPr="00592499" w:rsidRDefault="00A23AD8">
      <w:pPr>
        <w:pStyle w:val="BodyText"/>
        <w:rPr>
          <w:sz w:val="26"/>
          <w:lang w:val="sv-SE"/>
        </w:rPr>
      </w:pPr>
    </w:p>
    <w:p w14:paraId="7E75D65C" w14:textId="77777777" w:rsidR="00A23AD8" w:rsidRPr="00592499" w:rsidRDefault="00000000">
      <w:pPr>
        <w:pStyle w:val="Heading11"/>
        <w:numPr>
          <w:ilvl w:val="0"/>
          <w:numId w:val="2"/>
        </w:numPr>
        <w:tabs>
          <w:tab w:val="left" w:pos="425"/>
        </w:tabs>
        <w:ind w:left="425"/>
        <w:rPr>
          <w:lang w:val="sv-SE"/>
        </w:rPr>
      </w:pPr>
      <w:r>
        <w:rPr>
          <w:lang w:val="sv-SE"/>
        </w:rPr>
        <w:t>När ska förhandlingarna äga rum:</w:t>
      </w:r>
    </w:p>
    <w:p w14:paraId="09AD7C77" w14:textId="77777777" w:rsidR="00A23AD8" w:rsidRPr="00592499" w:rsidRDefault="00A23AD8">
      <w:pPr>
        <w:pStyle w:val="BodyText"/>
        <w:spacing w:before="10"/>
        <w:rPr>
          <w:b/>
          <w:sz w:val="27"/>
          <w:lang w:val="sv-SE"/>
        </w:rPr>
      </w:pPr>
    </w:p>
    <w:p w14:paraId="5F8C8A37" w14:textId="696658AC" w:rsidR="00A23AD8" w:rsidRPr="00592499" w:rsidRDefault="00000000">
      <w:pPr>
        <w:pStyle w:val="BodyText"/>
        <w:spacing w:before="1"/>
        <w:ind w:left="112" w:right="237"/>
        <w:rPr>
          <w:lang w:val="sv-SE"/>
        </w:rPr>
      </w:pPr>
      <w:r>
        <w:rPr>
          <w:lang w:val="sv-SE"/>
        </w:rPr>
        <w:t xml:space="preserve">Förhandlingarna </w:t>
      </w:r>
      <w:r w:rsidR="0098062E">
        <w:rPr>
          <w:lang w:val="sv-SE"/>
        </w:rPr>
        <w:t>förs</w:t>
      </w:r>
      <w:r>
        <w:rPr>
          <w:lang w:val="sv-SE"/>
        </w:rPr>
        <w:t xml:space="preserve"> på ett sådant sätt att löneökningarna kan genomföras i samband med löneutbetalningarna i augusti 2025. Förhandlingarna förs på ett sådant sätt att båda parter har tillräckligt med tid för att se över motiveringarna för de föreslagna anslagen i syfte att komma överens om fördelningsprinciperna.</w:t>
      </w:r>
    </w:p>
    <w:p w14:paraId="2D9F4788" w14:textId="77777777" w:rsidR="00A23AD8" w:rsidRPr="00592499" w:rsidRDefault="00A23AD8">
      <w:pPr>
        <w:pStyle w:val="BodyText"/>
        <w:rPr>
          <w:lang w:val="sv-SE"/>
        </w:rPr>
      </w:pPr>
    </w:p>
    <w:p w14:paraId="5288074B" w14:textId="7C7596DF" w:rsidR="00A23AD8" w:rsidRPr="00592499" w:rsidRDefault="00000000">
      <w:pPr>
        <w:pStyle w:val="BodyText"/>
        <w:ind w:left="112" w:right="237"/>
        <w:rPr>
          <w:lang w:val="sv-SE"/>
        </w:rPr>
      </w:pPr>
      <w:r>
        <w:rPr>
          <w:lang w:val="sv-SE"/>
        </w:rPr>
        <w:t>Om</w:t>
      </w:r>
      <w:r w:rsidR="0094337C">
        <w:rPr>
          <w:lang w:val="sv-SE"/>
        </w:rPr>
        <w:t xml:space="preserve"> lokalt samförstånd nås,</w:t>
      </w:r>
      <w:r>
        <w:rPr>
          <w:lang w:val="sv-SE"/>
        </w:rPr>
        <w:t xml:space="preserve"> till exempel för att säkerställa tillräcklig förhandlingstid, kan datumet för </w:t>
      </w:r>
      <w:r w:rsidR="0094337C">
        <w:rPr>
          <w:lang w:val="sv-SE"/>
        </w:rPr>
        <w:t>fördelningen</w:t>
      </w:r>
      <w:r>
        <w:rPr>
          <w:lang w:val="sv-SE"/>
        </w:rPr>
        <w:t xml:space="preserve"> av den lokala potten skjutas upp. I detta fall ska dock </w:t>
      </w:r>
      <w:r w:rsidR="0094337C">
        <w:rPr>
          <w:lang w:val="sv-SE"/>
        </w:rPr>
        <w:t>löneökningarna</w:t>
      </w:r>
      <w:r>
        <w:rPr>
          <w:lang w:val="sv-SE"/>
        </w:rPr>
        <w:t xml:space="preserve"> betalas retroaktivt från och med den 1.8.2025. I detta fall höjs även timtillägg, som betalas på grundval av </w:t>
      </w:r>
      <w:r w:rsidR="0094337C">
        <w:rPr>
          <w:lang w:val="sv-SE"/>
        </w:rPr>
        <w:t xml:space="preserve">de </w:t>
      </w:r>
      <w:r>
        <w:rPr>
          <w:lang w:val="sv-SE"/>
        </w:rPr>
        <w:t>fasta löner som höjs, retroaktivt från och med den 1.8.2025.</w:t>
      </w:r>
    </w:p>
    <w:p w14:paraId="478CAEBF" w14:textId="77777777" w:rsidR="00A23AD8" w:rsidRPr="00592499" w:rsidRDefault="00A23AD8">
      <w:pPr>
        <w:pStyle w:val="BodyText"/>
        <w:rPr>
          <w:lang w:val="sv-SE"/>
        </w:rPr>
      </w:pPr>
    </w:p>
    <w:p w14:paraId="68108872" w14:textId="71D02A44" w:rsidR="00A23AD8" w:rsidRPr="00592499" w:rsidRDefault="00000000" w:rsidP="00443E41">
      <w:pPr>
        <w:pStyle w:val="BodyText"/>
        <w:ind w:left="112" w:right="237"/>
        <w:rPr>
          <w:lang w:val="sv-SE"/>
        </w:rPr>
      </w:pPr>
      <w:r>
        <w:rPr>
          <w:lang w:val="sv-SE"/>
        </w:rPr>
        <w:t>Om en arbetsgivare inte har förhandlat och fördelat en lokal pott senast den 1.10.2025 och inte lokalt har kommit överens om ett uppskjutande av fördelningen,</w:t>
      </w:r>
      <w:r w:rsidR="00443E41">
        <w:rPr>
          <w:lang w:val="sv-SE"/>
        </w:rPr>
        <w:t xml:space="preserve"> </w:t>
      </w:r>
      <w:r>
        <w:rPr>
          <w:lang w:val="sv-SE"/>
        </w:rPr>
        <w:t>fördelas 0,7 procent till samtliga anställda i form av en generell ökning på 0,7 procent retroaktivt från och med den 1.8.2025.</w:t>
      </w:r>
    </w:p>
    <w:p w14:paraId="5D4F69D5" w14:textId="77777777" w:rsidR="00A23AD8" w:rsidRPr="00592499" w:rsidRDefault="00A23AD8">
      <w:pPr>
        <w:pStyle w:val="BodyText"/>
        <w:rPr>
          <w:sz w:val="30"/>
          <w:lang w:val="sv-SE"/>
        </w:rPr>
      </w:pPr>
    </w:p>
    <w:p w14:paraId="4A9C0A36" w14:textId="77777777" w:rsidR="00A23AD8" w:rsidRPr="00592499" w:rsidRDefault="00A23AD8">
      <w:pPr>
        <w:pStyle w:val="BodyText"/>
        <w:spacing w:before="6"/>
        <w:rPr>
          <w:sz w:val="25"/>
          <w:lang w:val="sv-SE"/>
        </w:rPr>
      </w:pPr>
    </w:p>
    <w:p w14:paraId="5F40A0CB" w14:textId="77777777" w:rsidR="00A23AD8" w:rsidRDefault="00000000">
      <w:pPr>
        <w:pStyle w:val="Heading11"/>
        <w:numPr>
          <w:ilvl w:val="0"/>
          <w:numId w:val="2"/>
        </w:numPr>
        <w:tabs>
          <w:tab w:val="left" w:pos="425"/>
        </w:tabs>
        <w:ind w:left="425"/>
      </w:pPr>
      <w:r>
        <w:rPr>
          <w:lang w:val="sv-SE"/>
        </w:rPr>
        <w:t>Ökningens betalningsmetod:</w:t>
      </w:r>
    </w:p>
    <w:p w14:paraId="4D656A28" w14:textId="77777777" w:rsidR="00A23AD8" w:rsidRDefault="00A23AD8">
      <w:pPr>
        <w:pStyle w:val="BodyText"/>
        <w:spacing w:before="11"/>
        <w:rPr>
          <w:b/>
          <w:sz w:val="27"/>
        </w:rPr>
      </w:pPr>
    </w:p>
    <w:p w14:paraId="46A65546" w14:textId="77777777" w:rsidR="00A23AD8" w:rsidRPr="00592499" w:rsidRDefault="00000000">
      <w:pPr>
        <w:pStyle w:val="BodyText"/>
        <w:ind w:left="112" w:right="237"/>
        <w:rPr>
          <w:lang w:val="sv-SE"/>
        </w:rPr>
      </w:pPr>
      <w:r>
        <w:rPr>
          <w:lang w:val="sv-SE"/>
        </w:rPr>
        <w:t>Löneökningarna betalas ut som ett tillsvidaretillägg baserat på antingen arbetets krävande karaktär eller tillgången på arbetskraft från och med den 1.8.2025.</w:t>
      </w:r>
    </w:p>
    <w:p w14:paraId="762248FA" w14:textId="77777777" w:rsidR="00A23AD8" w:rsidRPr="00592499" w:rsidRDefault="00A23AD8">
      <w:pPr>
        <w:pStyle w:val="BodyText"/>
        <w:spacing w:before="1"/>
        <w:rPr>
          <w:lang w:val="sv-SE"/>
        </w:rPr>
      </w:pPr>
    </w:p>
    <w:p w14:paraId="1C5683E7" w14:textId="385CBE15" w:rsidR="00A23AD8" w:rsidRPr="00592499" w:rsidRDefault="00000000">
      <w:pPr>
        <w:pStyle w:val="BodyText"/>
        <w:ind w:left="112" w:right="237"/>
        <w:rPr>
          <w:lang w:val="sv-SE"/>
        </w:rPr>
      </w:pPr>
      <w:r>
        <w:rPr>
          <w:lang w:val="sv-SE"/>
        </w:rPr>
        <w:t>I enlighet med principerna i 3 §</w:t>
      </w:r>
      <w:r w:rsidR="00632E69">
        <w:rPr>
          <w:lang w:val="sv-SE"/>
        </w:rPr>
        <w:t xml:space="preserve"> i löneavtalets</w:t>
      </w:r>
      <w:r>
        <w:rPr>
          <w:lang w:val="sv-SE"/>
        </w:rPr>
        <w:t xml:space="preserve"> övergångsbestämmelser kvarstår tillägg utgående från arbetets krävande karaktär även när arbetstagaren når en ny tröskel för tjänstgöringstillägg och i situationer där tabellönerna stiger mer än den allmänna ökningen.</w:t>
      </w:r>
    </w:p>
    <w:p w14:paraId="3E0EE9BE" w14:textId="77777777" w:rsidR="00A23AD8" w:rsidRPr="00592499" w:rsidRDefault="00A23AD8">
      <w:pPr>
        <w:pStyle w:val="BodyText"/>
        <w:rPr>
          <w:lang w:val="sv-SE"/>
        </w:rPr>
      </w:pPr>
    </w:p>
    <w:p w14:paraId="5D29FA09" w14:textId="77777777" w:rsidR="00A23AD8" w:rsidRPr="00592499" w:rsidRDefault="00000000">
      <w:pPr>
        <w:pStyle w:val="BodyText"/>
        <w:ind w:left="112" w:right="237"/>
        <w:rPr>
          <w:lang w:val="sv-SE"/>
        </w:rPr>
      </w:pPr>
      <w:r>
        <w:rPr>
          <w:lang w:val="sv-SE"/>
        </w:rPr>
        <w:t>Det tillgänglighetstillägg som överenskommits för denna lokala pott, som är avsedd att bibehållas, kommer också att förbli i kraft när arbetstagaren når en ny tröskel för tjänstgöringstillägg och i situationer där tabellönerna stiger mer än den allmänna ökningen.</w:t>
      </w:r>
    </w:p>
    <w:p w14:paraId="2E6A0735" w14:textId="77777777" w:rsidR="00A23AD8" w:rsidRPr="00592499" w:rsidRDefault="00A23AD8">
      <w:pPr>
        <w:pStyle w:val="BodyText"/>
        <w:spacing w:before="10"/>
        <w:rPr>
          <w:sz w:val="27"/>
          <w:lang w:val="sv-SE"/>
        </w:rPr>
      </w:pPr>
    </w:p>
    <w:p w14:paraId="34A35139" w14:textId="23E6E425" w:rsidR="00A23AD8" w:rsidRPr="00592499" w:rsidRDefault="00000000">
      <w:pPr>
        <w:pStyle w:val="BodyText"/>
        <w:ind w:left="112" w:right="18"/>
        <w:rPr>
          <w:lang w:val="sv-SE"/>
        </w:rPr>
      </w:pPr>
      <w:r>
        <w:rPr>
          <w:lang w:val="sv-SE"/>
        </w:rPr>
        <w:t xml:space="preserve">I samband med </w:t>
      </w:r>
      <w:r w:rsidR="00AC6D0F">
        <w:rPr>
          <w:lang w:val="sv-SE"/>
        </w:rPr>
        <w:t>kollektivavtalets</w:t>
      </w:r>
      <w:r>
        <w:rPr>
          <w:lang w:val="sv-SE"/>
        </w:rPr>
        <w:t xml:space="preserve"> normala allmänna höjning </w:t>
      </w:r>
      <w:r w:rsidR="00AC6D0F">
        <w:rPr>
          <w:lang w:val="sv-SE"/>
        </w:rPr>
        <w:t>höjs</w:t>
      </w:r>
      <w:r>
        <w:rPr>
          <w:lang w:val="sv-SE"/>
        </w:rPr>
        <w:t xml:space="preserve"> tillägget </w:t>
      </w:r>
      <w:r w:rsidR="00AC6D0F">
        <w:rPr>
          <w:lang w:val="sv-SE"/>
        </w:rPr>
        <w:t>baserat på</w:t>
      </w:r>
      <w:r>
        <w:rPr>
          <w:lang w:val="sv-SE"/>
        </w:rPr>
        <w:t xml:space="preserve"> arbetets krävande karaktär eller tillgången på arbetskraft liksom den anställdes övriga ordinarie lön. Tillägget är en del av arbetstagarens fasta månadslön, så den beaktas vid beräkning</w:t>
      </w:r>
      <w:r w:rsidR="00AC6D0F">
        <w:rPr>
          <w:lang w:val="sv-SE"/>
        </w:rPr>
        <w:t>en</w:t>
      </w:r>
      <w:r>
        <w:rPr>
          <w:lang w:val="sv-SE"/>
        </w:rPr>
        <w:t xml:space="preserve"> av timtillägg (kvälls-, natt-, lördags-, söndags</w:t>
      </w:r>
      <w:r w:rsidR="00AC6D0F">
        <w:rPr>
          <w:lang w:val="sv-SE"/>
        </w:rPr>
        <w:t>tillägg</w:t>
      </w:r>
      <w:r>
        <w:rPr>
          <w:lang w:val="sv-SE"/>
        </w:rPr>
        <w:t xml:space="preserve"> och övertidsersättning).</w:t>
      </w:r>
    </w:p>
    <w:p w14:paraId="786FD0CB" w14:textId="77777777" w:rsidR="00A23AD8" w:rsidRPr="00592499" w:rsidRDefault="00A23AD8">
      <w:pPr>
        <w:pStyle w:val="BodyText"/>
        <w:rPr>
          <w:lang w:val="sv-SE"/>
        </w:rPr>
      </w:pPr>
    </w:p>
    <w:p w14:paraId="74A9FAD2" w14:textId="77777777" w:rsidR="00A23AD8" w:rsidRPr="00592499" w:rsidRDefault="00000000">
      <w:pPr>
        <w:pStyle w:val="BodyText"/>
        <w:spacing w:before="1"/>
        <w:ind w:left="112" w:right="142"/>
        <w:rPr>
          <w:lang w:val="sv-SE"/>
        </w:rPr>
      </w:pPr>
      <w:r>
        <w:rPr>
          <w:lang w:val="sv-SE"/>
        </w:rPr>
        <w:t>Alternativt kan en ökning baserad på arbetets krävande karaktär eller tillgången på arbetskraft betalas genom att tillämpa en högre G-löneklass för arbetstagaren.</w:t>
      </w:r>
    </w:p>
    <w:p w14:paraId="38084CE4" w14:textId="77777777" w:rsidR="00A23AD8" w:rsidRPr="00592499" w:rsidRDefault="00A23AD8">
      <w:pPr>
        <w:pStyle w:val="BodyText"/>
        <w:rPr>
          <w:lang w:val="sv-SE"/>
        </w:rPr>
      </w:pPr>
    </w:p>
    <w:p w14:paraId="317A9162" w14:textId="77777777" w:rsidR="00A23AD8" w:rsidRPr="00592499" w:rsidRDefault="00000000">
      <w:pPr>
        <w:pStyle w:val="Heading11"/>
        <w:numPr>
          <w:ilvl w:val="0"/>
          <w:numId w:val="2"/>
        </w:numPr>
        <w:tabs>
          <w:tab w:val="left" w:pos="425"/>
        </w:tabs>
        <w:spacing w:before="1"/>
        <w:ind w:left="425"/>
        <w:rPr>
          <w:lang w:val="sv-SE"/>
        </w:rPr>
      </w:pPr>
      <w:r>
        <w:rPr>
          <w:lang w:val="sv-SE"/>
        </w:rPr>
        <w:t>God praxis vid lokal fördelning av pott</w:t>
      </w:r>
    </w:p>
    <w:p w14:paraId="46282C2D" w14:textId="77777777" w:rsidR="00A23AD8" w:rsidRPr="00592499" w:rsidRDefault="00A23AD8">
      <w:pPr>
        <w:pStyle w:val="BodyText"/>
        <w:spacing w:before="10"/>
        <w:rPr>
          <w:b/>
          <w:sz w:val="27"/>
          <w:lang w:val="sv-SE"/>
        </w:rPr>
      </w:pPr>
    </w:p>
    <w:p w14:paraId="0E339072" w14:textId="77777777" w:rsidR="00A23AD8" w:rsidRPr="00592499" w:rsidRDefault="00000000">
      <w:pPr>
        <w:pStyle w:val="ListParagraph"/>
        <w:numPr>
          <w:ilvl w:val="1"/>
          <w:numId w:val="2"/>
        </w:numPr>
        <w:tabs>
          <w:tab w:val="left" w:pos="285"/>
        </w:tabs>
        <w:ind w:right="145" w:firstLine="0"/>
        <w:rPr>
          <w:sz w:val="28"/>
          <w:lang w:val="sv-SE"/>
        </w:rPr>
      </w:pPr>
      <w:r>
        <w:rPr>
          <w:sz w:val="28"/>
          <w:szCs w:val="28"/>
          <w:lang w:val="sv-SE"/>
        </w:rPr>
        <w:t>Ett bra sätt att nå en överenskommelse är att förhandlingsparterna först tillsammans överväger kriterierna för det uppgiftsrelaterade tillägget eller tillgänglighetstillägget på grundval av vilken fördelningen kommer att göras. När samförstånd har nåtts görs den slutliga fördelningen vanligtvis genom ömsesidig överenskommelse och arbetsgivaren kan fördela den överenskomna andelen på grundval av överenskomna kriterier.</w:t>
      </w:r>
    </w:p>
    <w:p w14:paraId="6B390D93" w14:textId="77777777" w:rsidR="00A23AD8" w:rsidRPr="00592499" w:rsidRDefault="00A23AD8">
      <w:pPr>
        <w:pStyle w:val="BodyText"/>
        <w:spacing w:before="11"/>
        <w:rPr>
          <w:sz w:val="27"/>
          <w:lang w:val="sv-SE"/>
        </w:rPr>
      </w:pPr>
    </w:p>
    <w:p w14:paraId="06CAA808" w14:textId="77777777" w:rsidR="00A23AD8" w:rsidRPr="00592499" w:rsidRDefault="00000000">
      <w:pPr>
        <w:pStyle w:val="ListParagraph"/>
        <w:numPr>
          <w:ilvl w:val="1"/>
          <w:numId w:val="2"/>
        </w:numPr>
        <w:tabs>
          <w:tab w:val="left" w:pos="285"/>
        </w:tabs>
        <w:ind w:right="522" w:firstLine="0"/>
        <w:rPr>
          <w:sz w:val="28"/>
          <w:lang w:val="sv-SE"/>
        </w:rPr>
      </w:pPr>
      <w:r>
        <w:rPr>
          <w:sz w:val="28"/>
          <w:szCs w:val="28"/>
          <w:lang w:val="sv-SE"/>
        </w:rPr>
        <w:t>Lokala avtal kan främja ett positivt samarbete mellan arbetsgivare och arbetstagare och tillämpandet av incitamentsbaserade belöningssystem.</w:t>
      </w:r>
    </w:p>
    <w:p w14:paraId="279CF67A" w14:textId="77777777" w:rsidR="00A23AD8" w:rsidRPr="00592499" w:rsidRDefault="00A23AD8">
      <w:pPr>
        <w:rPr>
          <w:sz w:val="28"/>
          <w:lang w:val="sv-SE"/>
        </w:rPr>
        <w:sectPr w:rsidR="00A23AD8" w:rsidRPr="00592499">
          <w:pgSz w:w="11910" w:h="16840"/>
          <w:pgMar w:top="1320" w:right="1020" w:bottom="280" w:left="1020" w:header="720" w:footer="720" w:gutter="0"/>
          <w:cols w:space="720"/>
        </w:sectPr>
      </w:pPr>
    </w:p>
    <w:p w14:paraId="4BA8694E" w14:textId="77777777" w:rsidR="00A23AD8" w:rsidRPr="00592499" w:rsidRDefault="00000000">
      <w:pPr>
        <w:pStyle w:val="BodyText"/>
        <w:spacing w:before="76"/>
        <w:ind w:left="112" w:right="237"/>
        <w:rPr>
          <w:lang w:val="sv-SE"/>
        </w:rPr>
      </w:pPr>
      <w:r>
        <w:rPr>
          <w:lang w:val="sv-SE"/>
        </w:rPr>
        <w:lastRenderedPageBreak/>
        <w:t>Arbetsgivaren ska förse personalrepresentanterna med den information som är nödvändig för förhandlingarna. Nödvändiga preliminära uppgifter i början av förhandlingarna avser lönesumman och antalet anställda.</w:t>
      </w:r>
    </w:p>
    <w:p w14:paraId="16DCBE03" w14:textId="77777777" w:rsidR="00A23AD8" w:rsidRPr="00592499" w:rsidRDefault="00A23AD8">
      <w:pPr>
        <w:pStyle w:val="BodyText"/>
        <w:rPr>
          <w:sz w:val="30"/>
          <w:lang w:val="sv-SE"/>
        </w:rPr>
      </w:pPr>
    </w:p>
    <w:p w14:paraId="2D72496A" w14:textId="77777777" w:rsidR="00A23AD8" w:rsidRPr="00592499" w:rsidRDefault="00A23AD8">
      <w:pPr>
        <w:pStyle w:val="BodyText"/>
        <w:rPr>
          <w:sz w:val="30"/>
          <w:lang w:val="sv-SE"/>
        </w:rPr>
      </w:pPr>
    </w:p>
    <w:p w14:paraId="1477368F" w14:textId="77777777" w:rsidR="00A23AD8" w:rsidRPr="00592499" w:rsidRDefault="00A23AD8">
      <w:pPr>
        <w:pStyle w:val="BodyText"/>
        <w:rPr>
          <w:sz w:val="24"/>
          <w:lang w:val="sv-SE"/>
        </w:rPr>
      </w:pPr>
    </w:p>
    <w:p w14:paraId="3C74D7A1" w14:textId="6CA5FC5F" w:rsidR="00A23AD8" w:rsidRPr="00592499" w:rsidRDefault="00000000">
      <w:pPr>
        <w:pStyle w:val="ListParagraph"/>
        <w:numPr>
          <w:ilvl w:val="1"/>
          <w:numId w:val="2"/>
        </w:numPr>
        <w:tabs>
          <w:tab w:val="left" w:pos="285"/>
        </w:tabs>
        <w:ind w:right="673" w:firstLine="0"/>
        <w:rPr>
          <w:sz w:val="28"/>
          <w:lang w:val="sv-SE"/>
        </w:rPr>
      </w:pPr>
      <w:r>
        <w:rPr>
          <w:sz w:val="28"/>
          <w:szCs w:val="28"/>
          <w:lang w:val="sv-SE"/>
        </w:rPr>
        <w:t xml:space="preserve">All personal informeras, utan att äventyra den personliga </w:t>
      </w:r>
      <w:r w:rsidR="000C4680">
        <w:rPr>
          <w:sz w:val="28"/>
          <w:szCs w:val="28"/>
          <w:lang w:val="sv-SE"/>
        </w:rPr>
        <w:t>l</w:t>
      </w:r>
      <w:r>
        <w:rPr>
          <w:sz w:val="28"/>
          <w:szCs w:val="28"/>
          <w:lang w:val="sv-SE"/>
        </w:rPr>
        <w:t>önesekretessen, om de grunder på vilka potten har fördelats.</w:t>
      </w:r>
    </w:p>
    <w:p w14:paraId="6981007F" w14:textId="77777777" w:rsidR="00A23AD8" w:rsidRPr="00592499" w:rsidRDefault="00A23AD8">
      <w:pPr>
        <w:pStyle w:val="BodyText"/>
        <w:spacing w:before="1"/>
        <w:rPr>
          <w:lang w:val="sv-SE"/>
        </w:rPr>
      </w:pPr>
    </w:p>
    <w:p w14:paraId="14FCED25" w14:textId="77777777" w:rsidR="00A23AD8" w:rsidRDefault="00000000">
      <w:pPr>
        <w:pStyle w:val="Heading11"/>
        <w:numPr>
          <w:ilvl w:val="0"/>
          <w:numId w:val="2"/>
        </w:numPr>
        <w:tabs>
          <w:tab w:val="left" w:pos="429"/>
        </w:tabs>
        <w:ind w:left="428" w:hanging="317"/>
      </w:pPr>
      <w:r>
        <w:rPr>
          <w:lang w:val="sv-SE"/>
        </w:rPr>
        <w:t>Exempel på lokala förhandlingar:</w:t>
      </w:r>
    </w:p>
    <w:p w14:paraId="46225239" w14:textId="77777777" w:rsidR="00A23AD8" w:rsidRDefault="00A23AD8">
      <w:pPr>
        <w:pStyle w:val="BodyText"/>
        <w:spacing w:before="11"/>
        <w:rPr>
          <w:b/>
          <w:sz w:val="27"/>
        </w:rPr>
      </w:pPr>
    </w:p>
    <w:p w14:paraId="2DB92DE0" w14:textId="77777777" w:rsidR="00A23AD8" w:rsidRDefault="00000000">
      <w:pPr>
        <w:pStyle w:val="ListParagraph"/>
        <w:numPr>
          <w:ilvl w:val="0"/>
          <w:numId w:val="1"/>
        </w:numPr>
        <w:tabs>
          <w:tab w:val="left" w:pos="425"/>
        </w:tabs>
        <w:ind w:right="970" w:firstLine="0"/>
        <w:rPr>
          <w:sz w:val="28"/>
        </w:rPr>
      </w:pPr>
      <w:r>
        <w:rPr>
          <w:sz w:val="28"/>
          <w:szCs w:val="28"/>
          <w:lang w:val="sv-SE"/>
        </w:rPr>
        <w:t>Arbetsgivaren avgör om förhandlingarna kommer att äga rum på koncern-, företags- eller arbetsenhetsnivå. I det här exemplet sker förhandlingarna på företagsnivå.</w:t>
      </w:r>
    </w:p>
    <w:p w14:paraId="3421A3B2" w14:textId="77777777" w:rsidR="00A23AD8" w:rsidRDefault="00A23AD8">
      <w:pPr>
        <w:pStyle w:val="BodyText"/>
        <w:spacing w:before="1"/>
      </w:pPr>
    </w:p>
    <w:p w14:paraId="0991BBC9" w14:textId="77777777" w:rsidR="00A23AD8" w:rsidRPr="00592499" w:rsidRDefault="00000000">
      <w:pPr>
        <w:pStyle w:val="ListParagraph"/>
        <w:numPr>
          <w:ilvl w:val="0"/>
          <w:numId w:val="1"/>
        </w:numPr>
        <w:tabs>
          <w:tab w:val="left" w:pos="429"/>
        </w:tabs>
        <w:ind w:right="331" w:firstLine="0"/>
        <w:rPr>
          <w:sz w:val="28"/>
          <w:lang w:val="sv-SE"/>
        </w:rPr>
      </w:pPr>
      <w:r>
        <w:rPr>
          <w:sz w:val="28"/>
          <w:szCs w:val="28"/>
          <w:lang w:val="sv-SE"/>
        </w:rPr>
        <w:t>Undertecknarorganisationerna utgörs av Sote, JHL, Talentia och Salli. En av undertecknarorganisationernas förtroendepersoner är närvarande på arbetsplatsen. Vid personalmötet väljer övriga anställda sinsemellan sin egen företrädare/sina egna företrädare för förhandlingarna.</w:t>
      </w:r>
    </w:p>
    <w:p w14:paraId="36DDB283" w14:textId="77777777" w:rsidR="00A23AD8" w:rsidRPr="00592499" w:rsidRDefault="00A23AD8">
      <w:pPr>
        <w:pStyle w:val="BodyText"/>
        <w:spacing w:before="10"/>
        <w:rPr>
          <w:sz w:val="27"/>
          <w:lang w:val="sv-SE"/>
        </w:rPr>
      </w:pPr>
    </w:p>
    <w:p w14:paraId="721610AC" w14:textId="77777777" w:rsidR="00A23AD8" w:rsidRPr="00592499" w:rsidRDefault="00000000">
      <w:pPr>
        <w:pStyle w:val="ListParagraph"/>
        <w:numPr>
          <w:ilvl w:val="0"/>
          <w:numId w:val="1"/>
        </w:numPr>
        <w:tabs>
          <w:tab w:val="left" w:pos="425"/>
        </w:tabs>
        <w:spacing w:line="242" w:lineRule="auto"/>
        <w:ind w:right="392" w:firstLine="0"/>
        <w:rPr>
          <w:sz w:val="28"/>
          <w:lang w:val="sv-SE"/>
        </w:rPr>
      </w:pPr>
      <w:r>
        <w:rPr>
          <w:sz w:val="28"/>
          <w:szCs w:val="28"/>
          <w:lang w:val="sv-SE"/>
        </w:rPr>
        <w:t>Förhandlingar förs med personalchefen, förtroendepersonen och företrädaren eller företrädarna för de övriga anställda.</w:t>
      </w:r>
    </w:p>
    <w:p w14:paraId="538A8275" w14:textId="77777777" w:rsidR="00A23AD8" w:rsidRPr="00592499" w:rsidRDefault="00A23AD8">
      <w:pPr>
        <w:pStyle w:val="BodyText"/>
        <w:spacing w:before="7"/>
        <w:rPr>
          <w:sz w:val="27"/>
          <w:lang w:val="sv-SE"/>
        </w:rPr>
      </w:pPr>
    </w:p>
    <w:p w14:paraId="03BB929B" w14:textId="77777777" w:rsidR="00A23AD8" w:rsidRPr="00592499" w:rsidRDefault="00000000">
      <w:pPr>
        <w:pStyle w:val="ListParagraph"/>
        <w:numPr>
          <w:ilvl w:val="0"/>
          <w:numId w:val="1"/>
        </w:numPr>
        <w:tabs>
          <w:tab w:val="left" w:pos="425"/>
        </w:tabs>
        <w:ind w:right="394" w:firstLine="0"/>
        <w:rPr>
          <w:sz w:val="28"/>
          <w:lang w:val="sv-SE"/>
        </w:rPr>
      </w:pPr>
      <w:r>
        <w:rPr>
          <w:sz w:val="28"/>
          <w:szCs w:val="28"/>
          <w:lang w:val="sv-SE"/>
        </w:rPr>
        <w:t>Kollektivavtalet omfattar 40 arbetstagare (inkluderar inte de arbetsgivarrepresentanter som avses i kollektivavtalets 1 §) vars fasta månadslön för ordinarie arbetstid och timlön som betalades ut till timanställda i april 2025 uppgick till 100 000 euro (omfattar inte övertid eller kvälls-, natt-, lördags- eller söndagstillägg).</w:t>
      </w:r>
    </w:p>
    <w:p w14:paraId="4DF3FE74" w14:textId="77777777" w:rsidR="00A23AD8" w:rsidRPr="00592499" w:rsidRDefault="00A23AD8">
      <w:pPr>
        <w:pStyle w:val="BodyText"/>
        <w:rPr>
          <w:lang w:val="sv-SE"/>
        </w:rPr>
      </w:pPr>
    </w:p>
    <w:p w14:paraId="2475802F" w14:textId="77777777" w:rsidR="00A23AD8" w:rsidRPr="00592499" w:rsidRDefault="00000000">
      <w:pPr>
        <w:pStyle w:val="ListParagraph"/>
        <w:numPr>
          <w:ilvl w:val="0"/>
          <w:numId w:val="1"/>
        </w:numPr>
        <w:tabs>
          <w:tab w:val="left" w:pos="425"/>
        </w:tabs>
        <w:ind w:left="425"/>
        <w:rPr>
          <w:sz w:val="28"/>
          <w:lang w:val="sv-SE"/>
        </w:rPr>
      </w:pPr>
      <w:r>
        <w:rPr>
          <w:sz w:val="28"/>
          <w:szCs w:val="28"/>
          <w:lang w:val="sv-SE"/>
        </w:rPr>
        <w:t>Potten som fördelas är 0,7 % x 100 000 € = 700 €</w:t>
      </w:r>
    </w:p>
    <w:p w14:paraId="4AC34EF5" w14:textId="77777777" w:rsidR="00A23AD8" w:rsidRPr="00592499" w:rsidRDefault="00A23AD8">
      <w:pPr>
        <w:pStyle w:val="BodyText"/>
        <w:spacing w:before="10"/>
        <w:rPr>
          <w:sz w:val="27"/>
          <w:lang w:val="sv-SE"/>
        </w:rPr>
      </w:pPr>
    </w:p>
    <w:p w14:paraId="41B8FC93" w14:textId="52F989B5" w:rsidR="00A23AD8" w:rsidRPr="00592499" w:rsidRDefault="00000000">
      <w:pPr>
        <w:pStyle w:val="ListParagraph"/>
        <w:numPr>
          <w:ilvl w:val="0"/>
          <w:numId w:val="1"/>
        </w:numPr>
        <w:tabs>
          <w:tab w:val="left" w:pos="425"/>
        </w:tabs>
        <w:spacing w:before="1"/>
        <w:ind w:right="209" w:firstLine="0"/>
        <w:rPr>
          <w:sz w:val="28"/>
          <w:lang w:val="sv-SE"/>
        </w:rPr>
      </w:pPr>
      <w:r>
        <w:rPr>
          <w:sz w:val="28"/>
          <w:szCs w:val="28"/>
          <w:lang w:val="sv-SE"/>
        </w:rPr>
        <w:t>Ingen specifik form eller minimilängd anges för förhandlingarna. Förhandlarna går tillsammans igenom sitt förslag till fördelning</w:t>
      </w:r>
      <w:r w:rsidR="00A97E2D">
        <w:rPr>
          <w:sz w:val="28"/>
          <w:szCs w:val="28"/>
          <w:lang w:val="sv-SE"/>
        </w:rPr>
        <w:t xml:space="preserve"> </w:t>
      </w:r>
      <w:r>
        <w:rPr>
          <w:sz w:val="28"/>
          <w:szCs w:val="28"/>
          <w:lang w:val="sv-SE"/>
        </w:rPr>
        <w:t xml:space="preserve">av potten </w:t>
      </w:r>
      <w:r w:rsidR="00A97E2D">
        <w:rPr>
          <w:sz w:val="28"/>
          <w:szCs w:val="28"/>
          <w:lang w:val="sv-SE"/>
        </w:rPr>
        <w:t xml:space="preserve">inklusive </w:t>
      </w:r>
      <w:r>
        <w:rPr>
          <w:sz w:val="28"/>
          <w:szCs w:val="28"/>
          <w:lang w:val="sv-SE"/>
        </w:rPr>
        <w:t>motiveringar och</w:t>
      </w:r>
      <w:r w:rsidR="00A97E2D">
        <w:rPr>
          <w:sz w:val="28"/>
          <w:szCs w:val="28"/>
          <w:lang w:val="sv-SE"/>
        </w:rPr>
        <w:t xml:space="preserve"> </w:t>
      </w:r>
      <w:r w:rsidR="00DB315B">
        <w:rPr>
          <w:sz w:val="28"/>
          <w:szCs w:val="28"/>
          <w:lang w:val="sv-SE"/>
        </w:rPr>
        <w:t>fastställer</w:t>
      </w:r>
      <w:r>
        <w:rPr>
          <w:sz w:val="28"/>
          <w:szCs w:val="28"/>
          <w:lang w:val="sv-SE"/>
        </w:rPr>
        <w:t xml:space="preserve"> om samförstånd som är godtagbart för alla parter i förhandlingarna kan nås.</w:t>
      </w:r>
    </w:p>
    <w:p w14:paraId="70BE58A2" w14:textId="77777777" w:rsidR="00A23AD8" w:rsidRPr="00592499" w:rsidRDefault="00A23AD8">
      <w:pPr>
        <w:pStyle w:val="BodyText"/>
        <w:rPr>
          <w:lang w:val="sv-SE"/>
        </w:rPr>
      </w:pPr>
    </w:p>
    <w:p w14:paraId="339D58B2" w14:textId="002D8D80" w:rsidR="00A23AD8" w:rsidRPr="0013544B" w:rsidRDefault="00000000" w:rsidP="0013544B">
      <w:pPr>
        <w:pStyle w:val="ListParagraph"/>
        <w:numPr>
          <w:ilvl w:val="0"/>
          <w:numId w:val="1"/>
        </w:numPr>
        <w:tabs>
          <w:tab w:val="left" w:pos="425"/>
        </w:tabs>
        <w:spacing w:line="320" w:lineRule="exact"/>
        <w:ind w:right="162" w:firstLine="0"/>
        <w:rPr>
          <w:lang w:val="sv-SE"/>
        </w:rPr>
      </w:pPr>
      <w:r w:rsidRPr="0013544B">
        <w:rPr>
          <w:sz w:val="28"/>
          <w:szCs w:val="28"/>
          <w:lang w:val="sv-SE"/>
        </w:rPr>
        <w:t xml:space="preserve">Under förhandlingarna enades man om tilldelningen av potten på ett sådant sätt, att den </w:t>
      </w:r>
      <w:r w:rsidR="0013544B" w:rsidRPr="0013544B">
        <w:rPr>
          <w:sz w:val="28"/>
          <w:szCs w:val="28"/>
          <w:lang w:val="sv-SE"/>
        </w:rPr>
        <w:t>baserad på</w:t>
      </w:r>
      <w:r w:rsidRPr="0013544B">
        <w:rPr>
          <w:sz w:val="28"/>
          <w:szCs w:val="28"/>
          <w:lang w:val="sv-SE"/>
        </w:rPr>
        <w:t xml:space="preserve"> utmaningarna med tillgång till arbetskraft och lönekonkurrens fördelas till anställda i arbetsuppgift Y som arbetar på orten X som ett tillgänglighetstillägg om 100 euro. Det finns 7 anställda i dessa </w:t>
      </w:r>
      <w:r w:rsidR="0013544B">
        <w:rPr>
          <w:sz w:val="28"/>
          <w:szCs w:val="28"/>
          <w:lang w:val="sv-SE"/>
        </w:rPr>
        <w:t>arbetsuppgifter</w:t>
      </w:r>
      <w:r w:rsidRPr="0013544B">
        <w:rPr>
          <w:sz w:val="28"/>
          <w:szCs w:val="28"/>
          <w:lang w:val="sv-SE"/>
        </w:rPr>
        <w:t xml:space="preserve"> på dessa orter, vilket innebär att hela potten</w:t>
      </w:r>
      <w:r w:rsidR="0013544B" w:rsidRPr="0013544B">
        <w:rPr>
          <w:sz w:val="28"/>
          <w:szCs w:val="28"/>
          <w:lang w:val="sv-SE"/>
        </w:rPr>
        <w:t xml:space="preserve"> </w:t>
      </w:r>
      <w:r w:rsidRPr="0013544B">
        <w:rPr>
          <w:sz w:val="28"/>
          <w:szCs w:val="28"/>
          <w:lang w:val="sv-SE"/>
        </w:rPr>
        <w:t xml:space="preserve">på 700 € </w:t>
      </w:r>
      <w:r w:rsidR="0013544B">
        <w:rPr>
          <w:sz w:val="28"/>
          <w:szCs w:val="28"/>
          <w:lang w:val="sv-SE"/>
        </w:rPr>
        <w:t>k</w:t>
      </w:r>
      <w:r w:rsidRPr="0013544B">
        <w:rPr>
          <w:sz w:val="28"/>
          <w:szCs w:val="28"/>
          <w:lang w:val="sv-SE"/>
        </w:rPr>
        <w:t>onstaterades fördelad. Avtalet ingicks skriftligen.</w:t>
      </w:r>
    </w:p>
    <w:p w14:paraId="366085EC" w14:textId="77777777" w:rsidR="00A23AD8" w:rsidRPr="00592499" w:rsidRDefault="00A23AD8">
      <w:pPr>
        <w:pStyle w:val="BodyText"/>
        <w:spacing w:before="2"/>
        <w:rPr>
          <w:lang w:val="sv-SE"/>
        </w:rPr>
      </w:pPr>
    </w:p>
    <w:p w14:paraId="2FFE7FBC" w14:textId="77777777" w:rsidR="00A23AD8" w:rsidRPr="00592499" w:rsidRDefault="00000000">
      <w:pPr>
        <w:pStyle w:val="ListParagraph"/>
        <w:numPr>
          <w:ilvl w:val="0"/>
          <w:numId w:val="1"/>
        </w:numPr>
        <w:tabs>
          <w:tab w:val="left" w:pos="429"/>
        </w:tabs>
        <w:ind w:left="428" w:hanging="317"/>
        <w:rPr>
          <w:sz w:val="28"/>
          <w:lang w:val="sv-SE"/>
        </w:rPr>
      </w:pPr>
      <w:r>
        <w:rPr>
          <w:sz w:val="28"/>
          <w:szCs w:val="28"/>
          <w:lang w:val="sv-SE"/>
        </w:rPr>
        <w:t>All personal informerades om de grunder enligt vilka potten fördelades.</w:t>
      </w:r>
    </w:p>
    <w:p w14:paraId="51771055" w14:textId="77777777" w:rsidR="00A23AD8" w:rsidRPr="00592499" w:rsidRDefault="00A23AD8">
      <w:pPr>
        <w:rPr>
          <w:sz w:val="28"/>
          <w:lang w:val="sv-SE"/>
        </w:rPr>
        <w:sectPr w:rsidR="00A23AD8" w:rsidRPr="00592499">
          <w:pgSz w:w="11910" w:h="16840"/>
          <w:pgMar w:top="1320" w:right="1020" w:bottom="280" w:left="1020" w:header="720" w:footer="720" w:gutter="0"/>
          <w:cols w:space="720"/>
        </w:sectPr>
      </w:pPr>
    </w:p>
    <w:p w14:paraId="5FBA8031" w14:textId="77777777" w:rsidR="00A23AD8" w:rsidRDefault="00000000">
      <w:pPr>
        <w:pStyle w:val="ListParagraph"/>
        <w:numPr>
          <w:ilvl w:val="0"/>
          <w:numId w:val="1"/>
        </w:numPr>
        <w:tabs>
          <w:tab w:val="left" w:pos="429"/>
        </w:tabs>
        <w:spacing w:before="76"/>
        <w:ind w:left="428" w:hanging="317"/>
        <w:rPr>
          <w:sz w:val="28"/>
        </w:rPr>
      </w:pPr>
      <w:r>
        <w:rPr>
          <w:spacing w:val="-2"/>
          <w:sz w:val="28"/>
          <w:szCs w:val="28"/>
          <w:lang w:val="sv-SE"/>
        </w:rPr>
        <w:lastRenderedPageBreak/>
        <w:t>Avtalsmall:</w:t>
      </w:r>
    </w:p>
    <w:p w14:paraId="10D4C68C" w14:textId="77777777" w:rsidR="00A23AD8" w:rsidRDefault="00A23AD8">
      <w:pPr>
        <w:pStyle w:val="BodyText"/>
        <w:spacing w:before="2"/>
      </w:pPr>
    </w:p>
    <w:p w14:paraId="4DD1AE2B" w14:textId="339C8EBD" w:rsidR="00A23AD8" w:rsidRPr="00592499" w:rsidRDefault="00000000">
      <w:pPr>
        <w:pStyle w:val="BodyText"/>
        <w:ind w:left="112" w:right="391"/>
        <w:rPr>
          <w:lang w:val="sv-SE"/>
        </w:rPr>
      </w:pPr>
      <w:r>
        <w:rPr>
          <w:lang w:val="sv-SE"/>
        </w:rPr>
        <w:t>Ämne: Tilldelning av lokal löneökning 1.8.2025 Förhandlingsnivå: (Koncern-, företags- eller arbetsenhetsnivå) Här</w:t>
      </w:r>
      <w:r w:rsidR="00484278">
        <w:rPr>
          <w:lang w:val="sv-SE"/>
        </w:rPr>
        <w:t xml:space="preserve"> tillämpas</w:t>
      </w:r>
      <w:r>
        <w:rPr>
          <w:lang w:val="sv-SE"/>
        </w:rPr>
        <w:t xml:space="preserve"> företagsnivå. Pott som fördelas: (avsnitten 4 och 5)</w:t>
      </w:r>
    </w:p>
    <w:p w14:paraId="00138224" w14:textId="77777777" w:rsidR="00A23AD8" w:rsidRPr="00592499" w:rsidRDefault="00000000">
      <w:pPr>
        <w:pStyle w:val="BodyText"/>
        <w:spacing w:line="321" w:lineRule="exact"/>
        <w:ind w:left="112"/>
        <w:rPr>
          <w:lang w:val="sv-SE"/>
        </w:rPr>
      </w:pPr>
      <w:r>
        <w:rPr>
          <w:lang w:val="sv-SE"/>
        </w:rPr>
        <w:t>Förhandlingsresultat: (avsnitt 7)</w:t>
      </w:r>
    </w:p>
    <w:p w14:paraId="07743C61" w14:textId="77777777" w:rsidR="00A23AD8" w:rsidRPr="00592499" w:rsidRDefault="00000000">
      <w:pPr>
        <w:pStyle w:val="BodyText"/>
        <w:ind w:left="112"/>
        <w:rPr>
          <w:lang w:val="sv-SE"/>
        </w:rPr>
      </w:pPr>
      <w:r>
        <w:rPr>
          <w:lang w:val="sv-SE"/>
        </w:rPr>
        <w:t>Datum, plats och underskrifter: (personer i avsnitt 3)</w:t>
      </w:r>
    </w:p>
    <w:p w14:paraId="113D098B" w14:textId="77777777" w:rsidR="00A23AD8" w:rsidRPr="00592499" w:rsidRDefault="00A23AD8">
      <w:pPr>
        <w:pStyle w:val="BodyText"/>
        <w:rPr>
          <w:sz w:val="30"/>
          <w:lang w:val="sv-SE"/>
        </w:rPr>
      </w:pPr>
    </w:p>
    <w:p w14:paraId="6DA3D262" w14:textId="77777777" w:rsidR="00A23AD8" w:rsidRPr="00592499" w:rsidRDefault="00A23AD8">
      <w:pPr>
        <w:pStyle w:val="BodyText"/>
        <w:rPr>
          <w:sz w:val="30"/>
          <w:lang w:val="sv-SE"/>
        </w:rPr>
      </w:pPr>
    </w:p>
    <w:p w14:paraId="40CAECC9" w14:textId="77777777" w:rsidR="00A23AD8" w:rsidRPr="00592499" w:rsidRDefault="00000000">
      <w:pPr>
        <w:pStyle w:val="BodyText"/>
        <w:spacing w:before="255" w:line="720" w:lineRule="auto"/>
        <w:ind w:left="112" w:right="5451"/>
        <w:rPr>
          <w:lang w:val="sv-SE"/>
        </w:rPr>
      </w:pPr>
      <w:r>
        <w:rPr>
          <w:lang w:val="sv-SE"/>
        </w:rPr>
        <w:t>Helsingfors den 7.6.2023 Välmåendebranschen HALI rf</w:t>
      </w:r>
    </w:p>
    <w:p w14:paraId="683E02B1" w14:textId="77777777" w:rsidR="00592499" w:rsidRDefault="00000000">
      <w:pPr>
        <w:pStyle w:val="BodyText"/>
        <w:spacing w:line="720" w:lineRule="auto"/>
        <w:ind w:left="112" w:right="2603"/>
        <w:rPr>
          <w:lang w:val="sv-SE"/>
        </w:rPr>
      </w:pPr>
      <w:r>
        <w:rPr>
          <w:lang w:val="sv-SE"/>
        </w:rPr>
        <w:t>Förhandlingsorganisationen för social- och hälsovården Sote rf</w:t>
      </w:r>
    </w:p>
    <w:p w14:paraId="43EAB41C" w14:textId="7FE5F39B" w:rsidR="00A23AD8" w:rsidRPr="00592499" w:rsidRDefault="00000000">
      <w:pPr>
        <w:pStyle w:val="BodyText"/>
        <w:spacing w:line="720" w:lineRule="auto"/>
        <w:ind w:left="112" w:right="2603"/>
        <w:rPr>
          <w:lang w:val="sv-SE"/>
        </w:rPr>
      </w:pPr>
      <w:r>
        <w:rPr>
          <w:lang w:val="sv-SE"/>
        </w:rPr>
        <w:t xml:space="preserve">Förbundet för den offentliga sektorn och </w:t>
      </w:r>
      <w:r w:rsidR="002D5D05">
        <w:rPr>
          <w:lang w:val="sv-SE"/>
        </w:rPr>
        <w:t>v</w:t>
      </w:r>
      <w:r>
        <w:rPr>
          <w:lang w:val="sv-SE"/>
        </w:rPr>
        <w:t xml:space="preserve">älfärdsområdena JHL rf </w:t>
      </w:r>
    </w:p>
    <w:p w14:paraId="1E0C6EE4" w14:textId="77777777" w:rsidR="00A23AD8" w:rsidRPr="00592499" w:rsidRDefault="00000000">
      <w:pPr>
        <w:pStyle w:val="BodyText"/>
        <w:spacing w:line="720" w:lineRule="auto"/>
        <w:ind w:left="112" w:right="237"/>
        <w:rPr>
          <w:lang w:val="sv-SE"/>
        </w:rPr>
      </w:pPr>
      <w:r>
        <w:rPr>
          <w:lang w:val="sv-SE"/>
        </w:rPr>
        <w:t>Fackorganisationen för högutbildade inom socialbranschen Talentia rf Socialservicebranschens allians Salli rf</w:t>
      </w:r>
    </w:p>
    <w:sectPr w:rsidR="00A23AD8" w:rsidRPr="00592499">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7EB3"/>
    <w:multiLevelType w:val="hybridMultilevel"/>
    <w:tmpl w:val="00000000"/>
    <w:lvl w:ilvl="0" w:tplc="8F7CF4B6">
      <w:start w:val="1"/>
      <w:numFmt w:val="decimal"/>
      <w:lvlText w:val="%1."/>
      <w:lvlJc w:val="left"/>
      <w:pPr>
        <w:ind w:left="112" w:hanging="313"/>
        <w:jc w:val="left"/>
      </w:pPr>
      <w:rPr>
        <w:rFonts w:ascii="Arial" w:eastAsia="Arial" w:hAnsi="Arial" w:cs="Arial" w:hint="default"/>
        <w:b w:val="0"/>
        <w:bCs w:val="0"/>
        <w:i w:val="0"/>
        <w:iCs w:val="0"/>
        <w:w w:val="100"/>
        <w:sz w:val="28"/>
        <w:szCs w:val="28"/>
        <w:lang w:val="fi-FI" w:eastAsia="en-US" w:bidi="ar-SA"/>
      </w:rPr>
    </w:lvl>
    <w:lvl w:ilvl="1" w:tplc="9B2EC95A">
      <w:numFmt w:val="bullet"/>
      <w:lvlText w:val="•"/>
      <w:lvlJc w:val="left"/>
      <w:pPr>
        <w:ind w:left="1094" w:hanging="313"/>
      </w:pPr>
      <w:rPr>
        <w:rFonts w:hint="default"/>
        <w:lang w:val="fi-FI" w:eastAsia="en-US" w:bidi="ar-SA"/>
      </w:rPr>
    </w:lvl>
    <w:lvl w:ilvl="2" w:tplc="2312C638">
      <w:numFmt w:val="bullet"/>
      <w:lvlText w:val="•"/>
      <w:lvlJc w:val="left"/>
      <w:pPr>
        <w:ind w:left="2069" w:hanging="313"/>
      </w:pPr>
      <w:rPr>
        <w:rFonts w:hint="default"/>
        <w:lang w:val="fi-FI" w:eastAsia="en-US" w:bidi="ar-SA"/>
      </w:rPr>
    </w:lvl>
    <w:lvl w:ilvl="3" w:tplc="E6AAC64A">
      <w:numFmt w:val="bullet"/>
      <w:lvlText w:val="•"/>
      <w:lvlJc w:val="left"/>
      <w:pPr>
        <w:ind w:left="3043" w:hanging="313"/>
      </w:pPr>
      <w:rPr>
        <w:rFonts w:hint="default"/>
        <w:lang w:val="fi-FI" w:eastAsia="en-US" w:bidi="ar-SA"/>
      </w:rPr>
    </w:lvl>
    <w:lvl w:ilvl="4" w:tplc="8132DC40">
      <w:numFmt w:val="bullet"/>
      <w:lvlText w:val="•"/>
      <w:lvlJc w:val="left"/>
      <w:pPr>
        <w:ind w:left="4018" w:hanging="313"/>
      </w:pPr>
      <w:rPr>
        <w:rFonts w:hint="default"/>
        <w:lang w:val="fi-FI" w:eastAsia="en-US" w:bidi="ar-SA"/>
      </w:rPr>
    </w:lvl>
    <w:lvl w:ilvl="5" w:tplc="FEDCC632">
      <w:numFmt w:val="bullet"/>
      <w:lvlText w:val="•"/>
      <w:lvlJc w:val="left"/>
      <w:pPr>
        <w:ind w:left="4993" w:hanging="313"/>
      </w:pPr>
      <w:rPr>
        <w:rFonts w:hint="default"/>
        <w:lang w:val="fi-FI" w:eastAsia="en-US" w:bidi="ar-SA"/>
      </w:rPr>
    </w:lvl>
    <w:lvl w:ilvl="6" w:tplc="E244C634">
      <w:numFmt w:val="bullet"/>
      <w:lvlText w:val="•"/>
      <w:lvlJc w:val="left"/>
      <w:pPr>
        <w:ind w:left="5967" w:hanging="313"/>
      </w:pPr>
      <w:rPr>
        <w:rFonts w:hint="default"/>
        <w:lang w:val="fi-FI" w:eastAsia="en-US" w:bidi="ar-SA"/>
      </w:rPr>
    </w:lvl>
    <w:lvl w:ilvl="7" w:tplc="37B80408">
      <w:numFmt w:val="bullet"/>
      <w:lvlText w:val="•"/>
      <w:lvlJc w:val="left"/>
      <w:pPr>
        <w:ind w:left="6942" w:hanging="313"/>
      </w:pPr>
      <w:rPr>
        <w:rFonts w:hint="default"/>
        <w:lang w:val="fi-FI" w:eastAsia="en-US" w:bidi="ar-SA"/>
      </w:rPr>
    </w:lvl>
    <w:lvl w:ilvl="8" w:tplc="209420E2">
      <w:numFmt w:val="bullet"/>
      <w:lvlText w:val="•"/>
      <w:lvlJc w:val="left"/>
      <w:pPr>
        <w:ind w:left="7917" w:hanging="313"/>
      </w:pPr>
      <w:rPr>
        <w:rFonts w:hint="default"/>
        <w:lang w:val="fi-FI" w:eastAsia="en-US" w:bidi="ar-SA"/>
      </w:rPr>
    </w:lvl>
  </w:abstractNum>
  <w:abstractNum w:abstractNumId="1" w15:restartNumberingAfterBreak="0">
    <w:nsid w:val="23361D58"/>
    <w:multiLevelType w:val="hybridMultilevel"/>
    <w:tmpl w:val="00000000"/>
    <w:lvl w:ilvl="0" w:tplc="F67EDA44">
      <w:start w:val="1"/>
      <w:numFmt w:val="decimal"/>
      <w:lvlText w:val="%1."/>
      <w:lvlJc w:val="left"/>
      <w:pPr>
        <w:ind w:left="425" w:hanging="313"/>
        <w:jc w:val="left"/>
      </w:pPr>
      <w:rPr>
        <w:rFonts w:ascii="Arial" w:eastAsia="Arial" w:hAnsi="Arial" w:cs="Arial" w:hint="default"/>
        <w:b/>
        <w:bCs/>
        <w:i w:val="0"/>
        <w:iCs w:val="0"/>
        <w:w w:val="100"/>
        <w:sz w:val="28"/>
        <w:szCs w:val="28"/>
        <w:lang w:val="fi-FI" w:eastAsia="en-US" w:bidi="ar-SA"/>
      </w:rPr>
    </w:lvl>
    <w:lvl w:ilvl="1" w:tplc="24BCA0A6">
      <w:start w:val="1"/>
      <w:numFmt w:val="decimal"/>
      <w:lvlText w:val="%2)"/>
      <w:lvlJc w:val="left"/>
      <w:pPr>
        <w:ind w:left="832" w:hanging="360"/>
        <w:jc w:val="left"/>
      </w:pPr>
      <w:rPr>
        <w:rFonts w:ascii="Arial" w:eastAsia="Arial" w:hAnsi="Arial" w:cs="Arial" w:hint="default"/>
        <w:b w:val="0"/>
        <w:bCs w:val="0"/>
        <w:i w:val="0"/>
        <w:iCs w:val="0"/>
        <w:w w:val="100"/>
        <w:sz w:val="28"/>
        <w:szCs w:val="28"/>
        <w:lang w:val="fi-FI" w:eastAsia="en-US" w:bidi="ar-SA"/>
      </w:rPr>
    </w:lvl>
    <w:lvl w:ilvl="2" w:tplc="9EC6C16A">
      <w:numFmt w:val="bullet"/>
      <w:lvlText w:val="•"/>
      <w:lvlJc w:val="left"/>
      <w:pPr>
        <w:ind w:left="1842" w:hanging="360"/>
      </w:pPr>
      <w:rPr>
        <w:rFonts w:hint="default"/>
        <w:lang w:val="fi-FI" w:eastAsia="en-US" w:bidi="ar-SA"/>
      </w:rPr>
    </w:lvl>
    <w:lvl w:ilvl="3" w:tplc="A3C0AD46">
      <w:numFmt w:val="bullet"/>
      <w:lvlText w:val="•"/>
      <w:lvlJc w:val="left"/>
      <w:pPr>
        <w:ind w:left="2845" w:hanging="360"/>
      </w:pPr>
      <w:rPr>
        <w:rFonts w:hint="default"/>
        <w:lang w:val="fi-FI" w:eastAsia="en-US" w:bidi="ar-SA"/>
      </w:rPr>
    </w:lvl>
    <w:lvl w:ilvl="4" w:tplc="0B4238F2">
      <w:numFmt w:val="bullet"/>
      <w:lvlText w:val="•"/>
      <w:lvlJc w:val="left"/>
      <w:pPr>
        <w:ind w:left="3848" w:hanging="360"/>
      </w:pPr>
      <w:rPr>
        <w:rFonts w:hint="default"/>
        <w:lang w:val="fi-FI" w:eastAsia="en-US" w:bidi="ar-SA"/>
      </w:rPr>
    </w:lvl>
    <w:lvl w:ilvl="5" w:tplc="2A4E785C">
      <w:numFmt w:val="bullet"/>
      <w:lvlText w:val="•"/>
      <w:lvlJc w:val="left"/>
      <w:pPr>
        <w:ind w:left="4851" w:hanging="360"/>
      </w:pPr>
      <w:rPr>
        <w:rFonts w:hint="default"/>
        <w:lang w:val="fi-FI" w:eastAsia="en-US" w:bidi="ar-SA"/>
      </w:rPr>
    </w:lvl>
    <w:lvl w:ilvl="6" w:tplc="CE841C72">
      <w:numFmt w:val="bullet"/>
      <w:lvlText w:val="•"/>
      <w:lvlJc w:val="left"/>
      <w:pPr>
        <w:ind w:left="5854" w:hanging="360"/>
      </w:pPr>
      <w:rPr>
        <w:rFonts w:hint="default"/>
        <w:lang w:val="fi-FI" w:eastAsia="en-US" w:bidi="ar-SA"/>
      </w:rPr>
    </w:lvl>
    <w:lvl w:ilvl="7" w:tplc="B70E3296">
      <w:numFmt w:val="bullet"/>
      <w:lvlText w:val="•"/>
      <w:lvlJc w:val="left"/>
      <w:pPr>
        <w:ind w:left="6857" w:hanging="360"/>
      </w:pPr>
      <w:rPr>
        <w:rFonts w:hint="default"/>
        <w:lang w:val="fi-FI" w:eastAsia="en-US" w:bidi="ar-SA"/>
      </w:rPr>
    </w:lvl>
    <w:lvl w:ilvl="8" w:tplc="0A1E5C3E">
      <w:numFmt w:val="bullet"/>
      <w:lvlText w:val="•"/>
      <w:lvlJc w:val="left"/>
      <w:pPr>
        <w:ind w:left="7860" w:hanging="360"/>
      </w:pPr>
      <w:rPr>
        <w:rFonts w:hint="default"/>
        <w:lang w:val="fi-FI" w:eastAsia="en-US" w:bidi="ar-SA"/>
      </w:rPr>
    </w:lvl>
  </w:abstractNum>
  <w:abstractNum w:abstractNumId="2" w15:restartNumberingAfterBreak="0">
    <w:nsid w:val="4B559922"/>
    <w:multiLevelType w:val="hybridMultilevel"/>
    <w:tmpl w:val="00000000"/>
    <w:lvl w:ilvl="0" w:tplc="8C949A8A">
      <w:start w:val="1"/>
      <w:numFmt w:val="decimal"/>
      <w:lvlText w:val="%1."/>
      <w:lvlJc w:val="left"/>
      <w:pPr>
        <w:ind w:left="112" w:hanging="313"/>
        <w:jc w:val="left"/>
      </w:pPr>
      <w:rPr>
        <w:rFonts w:hint="default"/>
        <w:w w:val="100"/>
        <w:lang w:val="fi-FI" w:eastAsia="en-US" w:bidi="ar-SA"/>
      </w:rPr>
    </w:lvl>
    <w:lvl w:ilvl="1" w:tplc="16422CDE">
      <w:numFmt w:val="bullet"/>
      <w:lvlText w:val="-"/>
      <w:lvlJc w:val="left"/>
      <w:pPr>
        <w:ind w:left="112" w:hanging="172"/>
      </w:pPr>
      <w:rPr>
        <w:rFonts w:ascii="Arial" w:eastAsia="Arial" w:hAnsi="Arial" w:cs="Arial" w:hint="default"/>
        <w:b w:val="0"/>
        <w:bCs w:val="0"/>
        <w:i w:val="0"/>
        <w:iCs w:val="0"/>
        <w:w w:val="100"/>
        <w:sz w:val="28"/>
        <w:szCs w:val="28"/>
        <w:lang w:val="fi-FI" w:eastAsia="en-US" w:bidi="ar-SA"/>
      </w:rPr>
    </w:lvl>
    <w:lvl w:ilvl="2" w:tplc="890C1A22">
      <w:numFmt w:val="bullet"/>
      <w:lvlText w:val="•"/>
      <w:lvlJc w:val="left"/>
      <w:pPr>
        <w:ind w:left="2069" w:hanging="172"/>
      </w:pPr>
      <w:rPr>
        <w:rFonts w:hint="default"/>
        <w:lang w:val="fi-FI" w:eastAsia="en-US" w:bidi="ar-SA"/>
      </w:rPr>
    </w:lvl>
    <w:lvl w:ilvl="3" w:tplc="017068B8">
      <w:numFmt w:val="bullet"/>
      <w:lvlText w:val="•"/>
      <w:lvlJc w:val="left"/>
      <w:pPr>
        <w:ind w:left="3043" w:hanging="172"/>
      </w:pPr>
      <w:rPr>
        <w:rFonts w:hint="default"/>
        <w:lang w:val="fi-FI" w:eastAsia="en-US" w:bidi="ar-SA"/>
      </w:rPr>
    </w:lvl>
    <w:lvl w:ilvl="4" w:tplc="C05887D4">
      <w:numFmt w:val="bullet"/>
      <w:lvlText w:val="•"/>
      <w:lvlJc w:val="left"/>
      <w:pPr>
        <w:ind w:left="4018" w:hanging="172"/>
      </w:pPr>
      <w:rPr>
        <w:rFonts w:hint="default"/>
        <w:lang w:val="fi-FI" w:eastAsia="en-US" w:bidi="ar-SA"/>
      </w:rPr>
    </w:lvl>
    <w:lvl w:ilvl="5" w:tplc="3D5C3FCC">
      <w:numFmt w:val="bullet"/>
      <w:lvlText w:val="•"/>
      <w:lvlJc w:val="left"/>
      <w:pPr>
        <w:ind w:left="4993" w:hanging="172"/>
      </w:pPr>
      <w:rPr>
        <w:rFonts w:hint="default"/>
        <w:lang w:val="fi-FI" w:eastAsia="en-US" w:bidi="ar-SA"/>
      </w:rPr>
    </w:lvl>
    <w:lvl w:ilvl="6" w:tplc="E104D28C">
      <w:numFmt w:val="bullet"/>
      <w:lvlText w:val="•"/>
      <w:lvlJc w:val="left"/>
      <w:pPr>
        <w:ind w:left="5967" w:hanging="172"/>
      </w:pPr>
      <w:rPr>
        <w:rFonts w:hint="default"/>
        <w:lang w:val="fi-FI" w:eastAsia="en-US" w:bidi="ar-SA"/>
      </w:rPr>
    </w:lvl>
    <w:lvl w:ilvl="7" w:tplc="C6683E20">
      <w:numFmt w:val="bullet"/>
      <w:lvlText w:val="•"/>
      <w:lvlJc w:val="left"/>
      <w:pPr>
        <w:ind w:left="6942" w:hanging="172"/>
      </w:pPr>
      <w:rPr>
        <w:rFonts w:hint="default"/>
        <w:lang w:val="fi-FI" w:eastAsia="en-US" w:bidi="ar-SA"/>
      </w:rPr>
    </w:lvl>
    <w:lvl w:ilvl="8" w:tplc="E3DE776A">
      <w:numFmt w:val="bullet"/>
      <w:lvlText w:val="•"/>
      <w:lvlJc w:val="left"/>
      <w:pPr>
        <w:ind w:left="7917" w:hanging="172"/>
      </w:pPr>
      <w:rPr>
        <w:rFonts w:hint="default"/>
        <w:lang w:val="fi-FI" w:eastAsia="en-US" w:bidi="ar-SA"/>
      </w:rPr>
    </w:lvl>
  </w:abstractNum>
  <w:num w:numId="1" w16cid:durableId="1042749261">
    <w:abstractNumId w:val="0"/>
  </w:num>
  <w:num w:numId="2" w16cid:durableId="515071687">
    <w:abstractNumId w:val="2"/>
  </w:num>
  <w:num w:numId="3" w16cid:durableId="29957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D8"/>
    <w:rsid w:val="000C4680"/>
    <w:rsid w:val="000D4CE1"/>
    <w:rsid w:val="0013544B"/>
    <w:rsid w:val="001777B4"/>
    <w:rsid w:val="001B3767"/>
    <w:rsid w:val="002D5D05"/>
    <w:rsid w:val="00310FD6"/>
    <w:rsid w:val="003E025C"/>
    <w:rsid w:val="00443E41"/>
    <w:rsid w:val="00484278"/>
    <w:rsid w:val="00512127"/>
    <w:rsid w:val="00532B32"/>
    <w:rsid w:val="00592499"/>
    <w:rsid w:val="005E6789"/>
    <w:rsid w:val="00632E69"/>
    <w:rsid w:val="0066166E"/>
    <w:rsid w:val="006C0BDB"/>
    <w:rsid w:val="006E2C95"/>
    <w:rsid w:val="006F5CDE"/>
    <w:rsid w:val="00782E84"/>
    <w:rsid w:val="007C3D53"/>
    <w:rsid w:val="007F7E21"/>
    <w:rsid w:val="008061B4"/>
    <w:rsid w:val="0094337C"/>
    <w:rsid w:val="00975D73"/>
    <w:rsid w:val="0098062E"/>
    <w:rsid w:val="00A1516F"/>
    <w:rsid w:val="00A23AD8"/>
    <w:rsid w:val="00A957A1"/>
    <w:rsid w:val="00A97E2D"/>
    <w:rsid w:val="00AC6D0F"/>
    <w:rsid w:val="00B3604E"/>
    <w:rsid w:val="00B40D92"/>
    <w:rsid w:val="00B67DBD"/>
    <w:rsid w:val="00C50EBA"/>
    <w:rsid w:val="00C74DD0"/>
    <w:rsid w:val="00CF7D09"/>
    <w:rsid w:val="00DB315B"/>
    <w:rsid w:val="00F76FBF"/>
    <w:rsid w:val="00FF56A1"/>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476781DF"/>
  <w15:docId w15:val="{EE26C687-88F7-ED43-A85A-8C1603A9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customStyle="1" w:styleId="Heading11">
    <w:name w:val="Heading 11"/>
    <w:basedOn w:val="Normal"/>
    <w:uiPriority w:val="1"/>
    <w:qFormat/>
    <w:pPr>
      <w:ind w:left="425" w:hanging="313"/>
      <w:outlineLvl w:val="1"/>
    </w:pPr>
    <w:rPr>
      <w:b/>
      <w:bCs/>
      <w:sz w:val="28"/>
      <w:szCs w:val="28"/>
    </w:rPr>
  </w:style>
  <w:style w:type="paragraph" w:styleId="Title">
    <w:name w:val="Title"/>
    <w:basedOn w:val="Normal"/>
    <w:uiPriority w:val="1"/>
    <w:qFormat/>
    <w:pPr>
      <w:spacing w:before="89"/>
      <w:ind w:left="112" w:right="237"/>
    </w:pPr>
    <w:rPr>
      <w:b/>
      <w:bCs/>
      <w:sz w:val="32"/>
      <w:szCs w:val="32"/>
    </w:rPr>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1557</Words>
  <Characters>8881</Characters>
  <Application>Microsoft Office Word</Application>
  <DocSecurity>0</DocSecurity>
  <Lines>74</Lines>
  <Paragraphs>20</Paragraphs>
  <ScaleCrop>false</ScaleCrop>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Sos.palv.TES 2025 paik.erän sov.ohje final (002).docx</dc:title>
  <dc:creator>jukka.parkkola</dc:creator>
  <cp:lastModifiedBy>Jacita Bengts</cp:lastModifiedBy>
  <cp:revision>41</cp:revision>
  <dcterms:created xsi:type="dcterms:W3CDTF">2023-06-14T04:44:00Z</dcterms:created>
  <dcterms:modified xsi:type="dcterms:W3CDTF">2023-06-14T05:14:00Z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LastSaved">
    <vt:filetime>2023-06-13T00:00:00Z</vt:filetime>
  </property>
  <property fmtid="{D5CDD505-2E9C-101B-9397-08002B2CF9AE}" pid="4" name="Producer">
    <vt:lpwstr>Microsoft: Print To PDF</vt:lpwstr>
  </property>
</Properties>
</file>